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440F" w14:textId="1195232F" w:rsidR="007C3125" w:rsidRPr="005010C7" w:rsidRDefault="00053374" w:rsidP="007C3125">
      <w:pPr>
        <w:tabs>
          <w:tab w:val="center" w:pos="2736"/>
        </w:tabs>
        <w:ind w:right="-1109"/>
        <w:rPr>
          <w:szCs w:val="22"/>
        </w:rPr>
      </w:pPr>
      <w:bookmarkStart w:id="0" w:name="_Hlk87024770"/>
      <w:bookmarkStart w:id="1" w:name="_Hlk87022801"/>
      <w:r>
        <w:rPr>
          <w:szCs w:val="22"/>
        </w:rPr>
        <w:object w:dxaOrig="1440" w:dyaOrig="1440" w14:anchorId="17FE0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8.3pt;margin-top:54pt;width:320.1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1" DrawAspect="Content" ObjectID="_1697653705" r:id="rId9"/>
        </w:object>
      </w:r>
      <w:r w:rsidR="007C3125" w:rsidRPr="005010C7">
        <w:rPr>
          <w:szCs w:val="22"/>
        </w:rPr>
        <w:t>FIFTY-FIRST REGULAR SESSION</w:t>
      </w:r>
      <w:r w:rsidR="007C3125" w:rsidRPr="005010C7">
        <w:rPr>
          <w:szCs w:val="22"/>
        </w:rPr>
        <w:tab/>
      </w:r>
      <w:r w:rsidR="007C3125" w:rsidRPr="005010C7">
        <w:rPr>
          <w:szCs w:val="22"/>
        </w:rPr>
        <w:tab/>
      </w:r>
      <w:r w:rsidR="007C3125" w:rsidRPr="005010C7">
        <w:rPr>
          <w:szCs w:val="22"/>
        </w:rPr>
        <w:tab/>
      </w:r>
      <w:r w:rsidR="007C3125" w:rsidRPr="005010C7">
        <w:rPr>
          <w:szCs w:val="22"/>
        </w:rPr>
        <w:tab/>
      </w:r>
      <w:r w:rsidR="007C3125" w:rsidRPr="005010C7">
        <w:rPr>
          <w:szCs w:val="22"/>
        </w:rPr>
        <w:tab/>
      </w:r>
      <w:r w:rsidR="007C3125" w:rsidRPr="005010C7">
        <w:rPr>
          <w:szCs w:val="22"/>
        </w:rPr>
        <w:tab/>
        <w:t>OEA/</w:t>
      </w:r>
      <w:proofErr w:type="spellStart"/>
      <w:r w:rsidR="007C3125" w:rsidRPr="005010C7">
        <w:rPr>
          <w:szCs w:val="22"/>
        </w:rPr>
        <w:t>Ser.P</w:t>
      </w:r>
      <w:proofErr w:type="spellEnd"/>
    </w:p>
    <w:p w14:paraId="5B76E471" w14:textId="77777777" w:rsidR="007C3125" w:rsidRPr="005010C7" w:rsidRDefault="007C3125" w:rsidP="007C3125">
      <w:pPr>
        <w:ind w:right="-1469"/>
        <w:rPr>
          <w:szCs w:val="22"/>
        </w:rPr>
      </w:pPr>
      <w:r w:rsidRPr="005010C7">
        <w:rPr>
          <w:szCs w:val="22"/>
        </w:rPr>
        <w:t>November 10 to 12, 2021</w:t>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t>AG/doc.573</w:t>
      </w:r>
      <w:r>
        <w:t>9</w:t>
      </w:r>
      <w:r w:rsidRPr="005010C7">
        <w:rPr>
          <w:szCs w:val="22"/>
        </w:rPr>
        <w:t>/21</w:t>
      </w:r>
    </w:p>
    <w:p w14:paraId="7B26A50E" w14:textId="77777777" w:rsidR="007C3125" w:rsidRPr="005010C7" w:rsidRDefault="007C3125" w:rsidP="007C3125">
      <w:pPr>
        <w:ind w:right="-1109"/>
        <w:rPr>
          <w:szCs w:val="22"/>
        </w:rPr>
      </w:pPr>
      <w:r w:rsidRPr="005010C7">
        <w:rPr>
          <w:szCs w:val="22"/>
        </w:rPr>
        <w:t>Guatemala City, Guatemala</w:t>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t>5 November 2021</w:t>
      </w:r>
    </w:p>
    <w:p w14:paraId="1496FA68" w14:textId="77777777" w:rsidR="007C3125" w:rsidRDefault="007C3125" w:rsidP="007C3125">
      <w:pPr>
        <w:ind w:right="-1109"/>
      </w:pPr>
      <w:r w:rsidRPr="005010C7">
        <w:rPr>
          <w:szCs w:val="22"/>
        </w:rPr>
        <w:t>VIRTUAL</w:t>
      </w:r>
      <w:bookmarkEnd w:id="0"/>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t>Original: Spanish</w:t>
      </w:r>
    </w:p>
    <w:p w14:paraId="7F11260B" w14:textId="77777777" w:rsidR="007C3125" w:rsidRDefault="007C3125" w:rsidP="007C3125">
      <w:pPr>
        <w:ind w:right="-1109"/>
      </w:pPr>
    </w:p>
    <w:p w14:paraId="4FED7206" w14:textId="4C7AA2C8" w:rsidR="007C3125" w:rsidRPr="005010C7" w:rsidRDefault="00A51BE9" w:rsidP="00A51BE9">
      <w:pPr>
        <w:tabs>
          <w:tab w:val="left" w:pos="7200"/>
        </w:tabs>
        <w:ind w:right="-1109"/>
        <w:rPr>
          <w:szCs w:val="22"/>
        </w:rPr>
      </w:pPr>
      <w:r w:rsidRPr="00A51BE9">
        <w:tab/>
      </w:r>
      <w:r w:rsidR="007C3125">
        <w:rPr>
          <w:u w:val="single"/>
        </w:rPr>
        <w:t>Item 22 on the agenda</w:t>
      </w:r>
    </w:p>
    <w:bookmarkEnd w:id="1"/>
    <w:p w14:paraId="60199ABF" w14:textId="77777777" w:rsidR="001D344A" w:rsidRPr="00A95CF7" w:rsidRDefault="001D344A" w:rsidP="00A95CF7">
      <w:pPr>
        <w:rPr>
          <w:szCs w:val="22"/>
        </w:rPr>
      </w:pPr>
    </w:p>
    <w:p w14:paraId="51527B69" w14:textId="77777777" w:rsidR="002F2C92" w:rsidRPr="00A95CF7" w:rsidRDefault="002F2C92" w:rsidP="00A95CF7">
      <w:pPr>
        <w:rPr>
          <w:szCs w:val="22"/>
        </w:rPr>
      </w:pPr>
    </w:p>
    <w:p w14:paraId="35B9F8E5" w14:textId="77777777" w:rsidR="00A95CF7" w:rsidRDefault="00A95CF7" w:rsidP="00A95CF7">
      <w:pPr>
        <w:jc w:val="center"/>
        <w:rPr>
          <w:szCs w:val="22"/>
        </w:rPr>
      </w:pPr>
      <w:bookmarkStart w:id="2" w:name="_Hlk85110311"/>
    </w:p>
    <w:p w14:paraId="4D2D5BF7" w14:textId="3A8E33F8" w:rsidR="009C76FB" w:rsidRPr="00A95CF7" w:rsidRDefault="009C76FB" w:rsidP="00A95CF7">
      <w:pPr>
        <w:jc w:val="center"/>
        <w:rPr>
          <w:bCs/>
          <w:color w:val="000000"/>
          <w:szCs w:val="22"/>
        </w:rPr>
      </w:pPr>
      <w:r w:rsidRPr="00A95CF7">
        <w:rPr>
          <w:szCs w:val="22"/>
        </w:rPr>
        <w:t xml:space="preserve">DRAFT RESOLUTION </w:t>
      </w:r>
    </w:p>
    <w:bookmarkEnd w:id="2"/>
    <w:p w14:paraId="602DE17A" w14:textId="77777777" w:rsidR="009C76FB" w:rsidRPr="00A95CF7" w:rsidRDefault="009C76FB" w:rsidP="00A95CF7">
      <w:pPr>
        <w:jc w:val="center"/>
        <w:rPr>
          <w:bCs/>
          <w:color w:val="000000"/>
          <w:szCs w:val="22"/>
        </w:rPr>
      </w:pPr>
    </w:p>
    <w:p w14:paraId="5B3001DA" w14:textId="4B743189" w:rsidR="009C76FB" w:rsidRPr="00A95CF7" w:rsidRDefault="009C76FB" w:rsidP="00A95CF7">
      <w:pPr>
        <w:jc w:val="center"/>
        <w:rPr>
          <w:bCs/>
          <w:color w:val="000000"/>
          <w:szCs w:val="22"/>
        </w:rPr>
      </w:pPr>
      <w:r w:rsidRPr="00A95CF7">
        <w:rPr>
          <w:szCs w:val="22"/>
        </w:rPr>
        <w:t>INITIATIVES TO EXPAND TELECOMMUNICATIONS/ICT</w:t>
      </w:r>
      <w:r w:rsidR="00DA5FF5" w:rsidRPr="00A95CF7">
        <w:rPr>
          <w:szCs w:val="22"/>
        </w:rPr>
        <w:t>s</w:t>
      </w:r>
      <w:r w:rsidRPr="00A95CF7">
        <w:rPr>
          <w:szCs w:val="22"/>
        </w:rPr>
        <w:t xml:space="preserve"> IN RURAL, </w:t>
      </w:r>
      <w:r w:rsidR="00AB1726" w:rsidRPr="00A95CF7">
        <w:rPr>
          <w:szCs w:val="22"/>
        </w:rPr>
        <w:br/>
      </w:r>
      <w:r w:rsidRPr="00A95CF7">
        <w:rPr>
          <w:szCs w:val="22"/>
        </w:rPr>
        <w:t xml:space="preserve">UNSERVED </w:t>
      </w:r>
      <w:r w:rsidR="00206051" w:rsidRPr="00A95CF7">
        <w:rPr>
          <w:szCs w:val="22"/>
        </w:rPr>
        <w:t>AND</w:t>
      </w:r>
      <w:r w:rsidRPr="00A95CF7">
        <w:rPr>
          <w:szCs w:val="22"/>
        </w:rPr>
        <w:t xml:space="preserve"> UNDERSERVED AREAS</w:t>
      </w:r>
    </w:p>
    <w:p w14:paraId="5BC3DDB0" w14:textId="77777777" w:rsidR="009C76FB" w:rsidRPr="00A95CF7" w:rsidRDefault="009C76FB" w:rsidP="00A95CF7">
      <w:pPr>
        <w:jc w:val="center"/>
        <w:rPr>
          <w:bCs/>
          <w:szCs w:val="22"/>
        </w:rPr>
      </w:pPr>
    </w:p>
    <w:p w14:paraId="5805FDCB" w14:textId="77777777" w:rsidR="00A95CF7" w:rsidRPr="00A95CF7" w:rsidRDefault="009C76FB" w:rsidP="00A95CF7">
      <w:pPr>
        <w:pStyle w:val="Heading1"/>
        <w:rPr>
          <w:lang w:val="en-US"/>
        </w:rPr>
      </w:pPr>
      <w:r w:rsidRPr="00A95CF7">
        <w:rPr>
          <w:lang w:val="en-US"/>
        </w:rPr>
        <w:t>(</w:t>
      </w:r>
      <w:r w:rsidR="00A95CF7" w:rsidRPr="00A95CF7">
        <w:rPr>
          <w:lang w:val="en-US"/>
        </w:rPr>
        <w:t>Agreed upon by the Permanent Council at its virtual meeting of October 20, 2021,</w:t>
      </w:r>
    </w:p>
    <w:p w14:paraId="041C8C72" w14:textId="17C3C0CE" w:rsidR="009C76FB" w:rsidRPr="00A95CF7" w:rsidRDefault="00A95CF7" w:rsidP="00A95CF7">
      <w:pPr>
        <w:jc w:val="center"/>
        <w:rPr>
          <w:bCs/>
          <w:szCs w:val="22"/>
        </w:rPr>
      </w:pPr>
      <w:r w:rsidRPr="00A95CF7">
        <w:t xml:space="preserve">and </w:t>
      </w:r>
      <w:r w:rsidR="004E44BB">
        <w:t xml:space="preserve">referred </w:t>
      </w:r>
      <w:r w:rsidRPr="00A95CF7">
        <w:t xml:space="preserve">to the plenary of the General Assembly for </w:t>
      </w:r>
      <w:r w:rsidR="00CD1175">
        <w:t xml:space="preserve">its </w:t>
      </w:r>
      <w:r w:rsidRPr="00A95CF7">
        <w:t>consideration</w:t>
      </w:r>
      <w:r w:rsidR="009C76FB" w:rsidRPr="00A95CF7">
        <w:rPr>
          <w:szCs w:val="22"/>
        </w:rPr>
        <w:t>)</w:t>
      </w:r>
    </w:p>
    <w:p w14:paraId="5644AD48" w14:textId="77777777" w:rsidR="009C76FB" w:rsidRPr="00A95CF7" w:rsidRDefault="009C76FB" w:rsidP="00A95CF7">
      <w:pPr>
        <w:jc w:val="both"/>
        <w:rPr>
          <w:bCs/>
          <w:kern w:val="32"/>
          <w:szCs w:val="22"/>
        </w:rPr>
      </w:pPr>
    </w:p>
    <w:p w14:paraId="23B88204" w14:textId="77777777" w:rsidR="009C76FB" w:rsidRPr="00A95CF7" w:rsidRDefault="009C76FB" w:rsidP="00A95CF7">
      <w:pPr>
        <w:rPr>
          <w:bCs/>
          <w:szCs w:val="22"/>
        </w:rPr>
      </w:pPr>
    </w:p>
    <w:p w14:paraId="7860ABA4" w14:textId="77777777" w:rsidR="009C76FB" w:rsidRPr="00A95CF7" w:rsidRDefault="009C76FB" w:rsidP="00A95CF7">
      <w:pPr>
        <w:ind w:firstLine="708"/>
        <w:rPr>
          <w:bCs/>
          <w:szCs w:val="22"/>
        </w:rPr>
      </w:pPr>
      <w:r w:rsidRPr="00A95CF7">
        <w:rPr>
          <w:szCs w:val="22"/>
        </w:rPr>
        <w:t>THE GENERAL ASSEMBLY,</w:t>
      </w:r>
    </w:p>
    <w:p w14:paraId="0DAC47FE" w14:textId="77777777" w:rsidR="009C76FB" w:rsidRPr="00A95CF7" w:rsidRDefault="009C76FB" w:rsidP="00A95CF7">
      <w:pPr>
        <w:rPr>
          <w:bCs/>
          <w:szCs w:val="22"/>
        </w:rPr>
      </w:pPr>
    </w:p>
    <w:p w14:paraId="0194E22C" w14:textId="6C36CEE6" w:rsidR="009C76FB" w:rsidRPr="00A95CF7" w:rsidRDefault="009C76FB" w:rsidP="00A95CF7">
      <w:pPr>
        <w:rPr>
          <w:bCs/>
          <w:szCs w:val="22"/>
        </w:rPr>
      </w:pPr>
      <w:r w:rsidRPr="00A95CF7">
        <w:rPr>
          <w:szCs w:val="22"/>
        </w:rPr>
        <w:t>CONSIDERING:</w:t>
      </w:r>
    </w:p>
    <w:p w14:paraId="47B5519B" w14:textId="77777777" w:rsidR="009C76FB" w:rsidRPr="00A95CF7" w:rsidRDefault="009C76FB" w:rsidP="00A95CF7">
      <w:pPr>
        <w:rPr>
          <w:bCs/>
          <w:szCs w:val="22"/>
        </w:rPr>
      </w:pPr>
    </w:p>
    <w:p w14:paraId="120873D1" w14:textId="0D25787A" w:rsidR="009C76FB" w:rsidRPr="00A95CF7" w:rsidRDefault="009C76FB" w:rsidP="00A95CF7">
      <w:pPr>
        <w:ind w:firstLine="708"/>
        <w:jc w:val="both"/>
        <w:rPr>
          <w:bCs/>
          <w:szCs w:val="22"/>
        </w:rPr>
      </w:pPr>
      <w:r w:rsidRPr="00A95CF7">
        <w:rPr>
          <w:szCs w:val="22"/>
        </w:rPr>
        <w:t xml:space="preserve">That telecommunications/ICT are an essential tool for people to carry out their daily activities and exert a direct impact on the economic, social, and cultural environment of </w:t>
      </w:r>
      <w:proofErr w:type="gramStart"/>
      <w:r w:rsidRPr="00A95CF7">
        <w:rPr>
          <w:szCs w:val="22"/>
        </w:rPr>
        <w:t>countries;</w:t>
      </w:r>
      <w:proofErr w:type="gramEnd"/>
    </w:p>
    <w:p w14:paraId="694FC2F5" w14:textId="77777777" w:rsidR="009C76FB" w:rsidRPr="00A95CF7" w:rsidRDefault="009C76FB" w:rsidP="00A95CF7">
      <w:pPr>
        <w:jc w:val="both"/>
        <w:rPr>
          <w:bCs/>
          <w:szCs w:val="22"/>
        </w:rPr>
      </w:pPr>
    </w:p>
    <w:p w14:paraId="33F72D63" w14:textId="08AAA4FC" w:rsidR="009C76FB" w:rsidRPr="00A95CF7" w:rsidRDefault="009C76FB" w:rsidP="00A95CF7">
      <w:pPr>
        <w:ind w:firstLine="708"/>
        <w:jc w:val="both"/>
        <w:rPr>
          <w:bCs/>
          <w:szCs w:val="22"/>
        </w:rPr>
      </w:pPr>
      <w:r w:rsidRPr="00A95CF7">
        <w:rPr>
          <w:szCs w:val="22"/>
        </w:rPr>
        <w:t xml:space="preserve">That the global telecommunication/ICT infrastructure is essential and indispensable for world and national economies and for the well-being of all </w:t>
      </w:r>
      <w:proofErr w:type="gramStart"/>
      <w:r w:rsidRPr="00A95CF7">
        <w:rPr>
          <w:szCs w:val="22"/>
        </w:rPr>
        <w:t>societies;</w:t>
      </w:r>
      <w:proofErr w:type="gramEnd"/>
    </w:p>
    <w:p w14:paraId="2C94F686" w14:textId="77777777" w:rsidR="009C76FB" w:rsidRPr="00A95CF7" w:rsidRDefault="009C76FB" w:rsidP="00A95CF7">
      <w:pPr>
        <w:jc w:val="both"/>
        <w:rPr>
          <w:bCs/>
          <w:szCs w:val="22"/>
        </w:rPr>
      </w:pPr>
    </w:p>
    <w:p w14:paraId="69C23810" w14:textId="22F655CC" w:rsidR="009C76FB" w:rsidRPr="00A95CF7" w:rsidRDefault="009C76FB" w:rsidP="00A95CF7">
      <w:pPr>
        <w:ind w:firstLine="708"/>
        <w:jc w:val="both"/>
        <w:rPr>
          <w:bCs/>
          <w:szCs w:val="22"/>
        </w:rPr>
      </w:pPr>
      <w:r w:rsidRPr="00A95CF7">
        <w:rPr>
          <w:szCs w:val="22"/>
        </w:rPr>
        <w:t xml:space="preserve">That the participation of communities, NGOs, and local government is key to the success of a rural connectivity </w:t>
      </w:r>
      <w:proofErr w:type="gramStart"/>
      <w:r w:rsidRPr="00A95CF7">
        <w:rPr>
          <w:szCs w:val="22"/>
        </w:rPr>
        <w:t>initiative;</w:t>
      </w:r>
      <w:proofErr w:type="gramEnd"/>
    </w:p>
    <w:p w14:paraId="5AED9F4B" w14:textId="77777777" w:rsidR="009C76FB" w:rsidRPr="00A95CF7" w:rsidRDefault="009C76FB" w:rsidP="00A95CF7">
      <w:pPr>
        <w:jc w:val="both"/>
        <w:rPr>
          <w:bCs/>
          <w:szCs w:val="22"/>
        </w:rPr>
      </w:pPr>
    </w:p>
    <w:p w14:paraId="6904E625" w14:textId="7E34D68D" w:rsidR="009C76FB" w:rsidRPr="00A95CF7" w:rsidRDefault="009C76FB" w:rsidP="00A95CF7">
      <w:pPr>
        <w:ind w:firstLine="708"/>
        <w:jc w:val="both"/>
        <w:rPr>
          <w:bCs/>
          <w:szCs w:val="22"/>
        </w:rPr>
      </w:pPr>
      <w:r w:rsidRPr="00A95CF7">
        <w:rPr>
          <w:szCs w:val="22"/>
        </w:rPr>
        <w:t>That the ITU Plenipotentiary Conference Resolution 200 (Rev. Dubai, 2018) on the “Connect 2030 Agenda for global telecommunication/information and communication technologies, including broadband, for sustainable development,” especially target 2, relative to “reducing the digital divide and achieving universal access to broadband</w:t>
      </w:r>
      <w:proofErr w:type="gramStart"/>
      <w:r w:rsidRPr="00A95CF7">
        <w:rPr>
          <w:szCs w:val="22"/>
        </w:rPr>
        <w:t>”;</w:t>
      </w:r>
      <w:proofErr w:type="gramEnd"/>
    </w:p>
    <w:p w14:paraId="7BFE1AD7" w14:textId="77777777" w:rsidR="009C76FB" w:rsidRPr="00A95CF7" w:rsidRDefault="009C76FB" w:rsidP="00A95CF7">
      <w:pPr>
        <w:rPr>
          <w:bCs/>
          <w:szCs w:val="22"/>
        </w:rPr>
      </w:pPr>
    </w:p>
    <w:p w14:paraId="5E589E8B" w14:textId="476554B9" w:rsidR="009C76FB" w:rsidRPr="00A95CF7" w:rsidRDefault="009C76FB" w:rsidP="00A95CF7">
      <w:pPr>
        <w:ind w:firstLine="708"/>
        <w:jc w:val="both"/>
        <w:rPr>
          <w:bCs/>
          <w:szCs w:val="22"/>
        </w:rPr>
      </w:pPr>
      <w:r w:rsidRPr="00A95CF7">
        <w:rPr>
          <w:szCs w:val="22"/>
        </w:rPr>
        <w:t xml:space="preserve">That World Telecommunication Development Conference (WTDC) Recommendation ITU-D 19 (Rev. Buenos Aires, 2017) on “Telecommunication for rural and remote areas” establishes that telecommunication services and ICT applications contribute significantly to improving the quality of living of the population, optimizing social well-being, boosting productivity, saving resources, and contributing to safeguarding human </w:t>
      </w:r>
      <w:proofErr w:type="gramStart"/>
      <w:r w:rsidRPr="00A95CF7">
        <w:rPr>
          <w:szCs w:val="22"/>
        </w:rPr>
        <w:t>rights;</w:t>
      </w:r>
      <w:proofErr w:type="gramEnd"/>
    </w:p>
    <w:p w14:paraId="08C71ED4" w14:textId="77777777" w:rsidR="009C76FB" w:rsidRPr="00A95CF7" w:rsidRDefault="009C76FB" w:rsidP="00A95CF7">
      <w:pPr>
        <w:jc w:val="both"/>
        <w:rPr>
          <w:bCs/>
          <w:szCs w:val="22"/>
        </w:rPr>
      </w:pPr>
    </w:p>
    <w:p w14:paraId="59F666CF" w14:textId="4834084B" w:rsidR="009C76FB" w:rsidRPr="00A95CF7" w:rsidRDefault="009C76FB" w:rsidP="00A95CF7">
      <w:pPr>
        <w:ind w:firstLine="708"/>
        <w:jc w:val="both"/>
        <w:rPr>
          <w:bCs/>
          <w:szCs w:val="22"/>
        </w:rPr>
      </w:pPr>
      <w:r w:rsidRPr="00A95CF7">
        <w:rPr>
          <w:szCs w:val="22"/>
        </w:rPr>
        <w:t xml:space="preserve">That CITEL Resolution PCC.I/RES. 268 (XXVIII-16) mentions ensuring the equitable implementation of telecommunications/ICT, as they foster the sustainable socioeconomic development and minimize the poverty and social inequalities of remote rural and indigenous </w:t>
      </w:r>
      <w:proofErr w:type="gramStart"/>
      <w:r w:rsidRPr="00A95CF7">
        <w:rPr>
          <w:szCs w:val="22"/>
        </w:rPr>
        <w:t>communities;</w:t>
      </w:r>
      <w:proofErr w:type="gramEnd"/>
    </w:p>
    <w:p w14:paraId="5CD2EB17" w14:textId="77777777" w:rsidR="009C76FB" w:rsidRPr="00A95CF7" w:rsidRDefault="009C76FB" w:rsidP="00A95CF7">
      <w:pPr>
        <w:jc w:val="both"/>
        <w:rPr>
          <w:bCs/>
          <w:szCs w:val="22"/>
        </w:rPr>
      </w:pPr>
    </w:p>
    <w:p w14:paraId="5F1BD7F5" w14:textId="77777777" w:rsidR="00A51BE9" w:rsidRDefault="00A51BE9">
      <w:pPr>
        <w:rPr>
          <w:szCs w:val="22"/>
        </w:rPr>
      </w:pPr>
      <w:r>
        <w:rPr>
          <w:szCs w:val="22"/>
        </w:rPr>
        <w:br w:type="page"/>
      </w:r>
    </w:p>
    <w:p w14:paraId="2291ADAB" w14:textId="4BC852C3" w:rsidR="009C76FB" w:rsidRPr="00A95CF7" w:rsidRDefault="009C76FB" w:rsidP="00A95CF7">
      <w:pPr>
        <w:ind w:firstLine="708"/>
        <w:jc w:val="both"/>
        <w:rPr>
          <w:bCs/>
          <w:szCs w:val="22"/>
        </w:rPr>
      </w:pPr>
      <w:r w:rsidRPr="00A95CF7">
        <w:rPr>
          <w:szCs w:val="22"/>
        </w:rPr>
        <w:lastRenderedPageBreak/>
        <w:t>That CITEL Recommendation PCC.I/REC. 28 (XXXIII-18) recommended that member states must facilitate the development of regulatory models that promote the deployment of infrastructure in remote or underserved rural areas, identifying necessary changes in: a) regulatory policies and b) models to achieve universal access; and</w:t>
      </w:r>
    </w:p>
    <w:p w14:paraId="49C04A91" w14:textId="77777777" w:rsidR="009C76FB" w:rsidRPr="00A95CF7" w:rsidRDefault="009C76FB" w:rsidP="00A95CF7">
      <w:pPr>
        <w:jc w:val="both"/>
        <w:rPr>
          <w:bCs/>
          <w:szCs w:val="22"/>
        </w:rPr>
      </w:pPr>
    </w:p>
    <w:p w14:paraId="70F98785" w14:textId="2F19971C" w:rsidR="009C76FB" w:rsidRPr="00A95CF7" w:rsidRDefault="009C76FB" w:rsidP="00A95CF7">
      <w:pPr>
        <w:ind w:firstLine="708"/>
        <w:jc w:val="both"/>
        <w:rPr>
          <w:bCs/>
          <w:szCs w:val="22"/>
        </w:rPr>
      </w:pPr>
      <w:r w:rsidRPr="00A95CF7">
        <w:rPr>
          <w:szCs w:val="22"/>
        </w:rPr>
        <w:t>That new alternatives must be found to resolve, over the short term, the absence of connectivity and telecommunication/ICT services in areas that do not have them or for which they are not affordable,</w:t>
      </w:r>
    </w:p>
    <w:p w14:paraId="2FD0FA45" w14:textId="77777777" w:rsidR="009C76FB" w:rsidRPr="00A95CF7" w:rsidRDefault="009C76FB" w:rsidP="00A95CF7">
      <w:pPr>
        <w:jc w:val="both"/>
        <w:rPr>
          <w:bCs/>
          <w:szCs w:val="22"/>
        </w:rPr>
      </w:pPr>
    </w:p>
    <w:p w14:paraId="7F1DF3C4" w14:textId="5ABC8002" w:rsidR="009C76FB" w:rsidRPr="00A95CF7" w:rsidRDefault="009C76FB" w:rsidP="00A95CF7">
      <w:pPr>
        <w:jc w:val="both"/>
        <w:rPr>
          <w:bCs/>
          <w:szCs w:val="22"/>
        </w:rPr>
      </w:pPr>
      <w:r w:rsidRPr="00A95CF7">
        <w:rPr>
          <w:szCs w:val="22"/>
        </w:rPr>
        <w:tab/>
        <w:t>That it is necessary for the Member States to promote urgent actions to facilitate technological development and connectivity to broadband networks, which should be affordable to benefit all sectors of the population.</w:t>
      </w:r>
    </w:p>
    <w:p w14:paraId="3B1DAA14" w14:textId="77777777" w:rsidR="009C76FB" w:rsidRPr="00A95CF7" w:rsidRDefault="009C76FB" w:rsidP="00A95CF7">
      <w:pPr>
        <w:jc w:val="both"/>
        <w:rPr>
          <w:bCs/>
          <w:szCs w:val="22"/>
        </w:rPr>
      </w:pPr>
    </w:p>
    <w:p w14:paraId="7C128F1D" w14:textId="77777777" w:rsidR="009C76FB" w:rsidRPr="00A95CF7" w:rsidRDefault="009C76FB" w:rsidP="00A95CF7">
      <w:pPr>
        <w:rPr>
          <w:bCs/>
          <w:szCs w:val="22"/>
        </w:rPr>
      </w:pPr>
      <w:r w:rsidRPr="00A95CF7">
        <w:rPr>
          <w:szCs w:val="22"/>
        </w:rPr>
        <w:t xml:space="preserve">RECOGNIZING: </w:t>
      </w:r>
    </w:p>
    <w:p w14:paraId="6F09412C" w14:textId="77777777" w:rsidR="009C76FB" w:rsidRPr="00A95CF7" w:rsidRDefault="009C76FB" w:rsidP="00A95CF7">
      <w:pPr>
        <w:rPr>
          <w:bCs/>
          <w:szCs w:val="22"/>
        </w:rPr>
      </w:pPr>
    </w:p>
    <w:p w14:paraId="511615B7" w14:textId="1AB23C7A" w:rsidR="009C76FB" w:rsidRPr="00A95CF7" w:rsidRDefault="009C76FB" w:rsidP="00A95CF7">
      <w:pPr>
        <w:ind w:firstLine="708"/>
        <w:jc w:val="both"/>
        <w:rPr>
          <w:bCs/>
          <w:szCs w:val="22"/>
        </w:rPr>
      </w:pPr>
      <w:r w:rsidRPr="00A95CF7">
        <w:rPr>
          <w:szCs w:val="22"/>
        </w:rPr>
        <w:t xml:space="preserve">That the experiences shared in the document on </w:t>
      </w:r>
      <w:r w:rsidRPr="00A95CF7">
        <w:rPr>
          <w:i/>
          <w:iCs/>
          <w:szCs w:val="22"/>
        </w:rPr>
        <w:t>“Best practices for bridging the digital divide by connecting the unconnected in unserved or underserved rural areas</w:t>
      </w:r>
      <w:r w:rsidRPr="00A95CF7">
        <w:rPr>
          <w:szCs w:val="22"/>
        </w:rPr>
        <w:t xml:space="preserve">” presented at the 37 Meeting of PCC.I by the Working Group on Policies and Regulation (WGPR) are a key contribution to compiling and reviewing the status related to connectivity in rural areas in the </w:t>
      </w:r>
      <w:proofErr w:type="gramStart"/>
      <w:r w:rsidRPr="00A95CF7">
        <w:rPr>
          <w:szCs w:val="22"/>
        </w:rPr>
        <w:t>region;</w:t>
      </w:r>
      <w:proofErr w:type="gramEnd"/>
    </w:p>
    <w:p w14:paraId="574BFA80" w14:textId="77777777" w:rsidR="009C76FB" w:rsidRPr="00A95CF7" w:rsidRDefault="009C76FB" w:rsidP="00A95CF7">
      <w:pPr>
        <w:jc w:val="both"/>
        <w:rPr>
          <w:bCs/>
          <w:szCs w:val="22"/>
        </w:rPr>
      </w:pPr>
    </w:p>
    <w:p w14:paraId="18D5E55B" w14:textId="2A1AEF9B" w:rsidR="009C76FB" w:rsidRPr="00A95CF7" w:rsidRDefault="009C76FB" w:rsidP="00A95CF7">
      <w:pPr>
        <w:ind w:firstLine="708"/>
        <w:jc w:val="both"/>
        <w:rPr>
          <w:bCs/>
          <w:szCs w:val="22"/>
        </w:rPr>
      </w:pPr>
      <w:r w:rsidRPr="00A95CF7">
        <w:rPr>
          <w:szCs w:val="22"/>
        </w:rPr>
        <w:t xml:space="preserve">That deploying more infrastructure can provide access to services, education, and </w:t>
      </w:r>
      <w:proofErr w:type="gramStart"/>
      <w:r w:rsidRPr="00A95CF7">
        <w:rPr>
          <w:szCs w:val="22"/>
        </w:rPr>
        <w:t>jobs;</w:t>
      </w:r>
      <w:proofErr w:type="gramEnd"/>
    </w:p>
    <w:p w14:paraId="60CC9A44" w14:textId="77777777" w:rsidR="009C76FB" w:rsidRPr="00A95CF7" w:rsidRDefault="009C76FB" w:rsidP="00A95CF7">
      <w:pPr>
        <w:jc w:val="both"/>
        <w:rPr>
          <w:bCs/>
          <w:szCs w:val="22"/>
        </w:rPr>
      </w:pPr>
    </w:p>
    <w:p w14:paraId="2447041D" w14:textId="5744D8EC" w:rsidR="009C76FB" w:rsidRPr="00A95CF7" w:rsidRDefault="009C76FB" w:rsidP="00A95CF7">
      <w:pPr>
        <w:ind w:firstLine="708"/>
        <w:jc w:val="both"/>
        <w:rPr>
          <w:bCs/>
          <w:szCs w:val="22"/>
        </w:rPr>
      </w:pPr>
      <w:r w:rsidRPr="00A95CF7">
        <w:rPr>
          <w:szCs w:val="22"/>
        </w:rPr>
        <w:t>That enhanced access to telecommunication and ICT services can provide economic and social inclusion and gender equality; and</w:t>
      </w:r>
    </w:p>
    <w:p w14:paraId="5375851B" w14:textId="77777777" w:rsidR="009C76FB" w:rsidRPr="00A95CF7" w:rsidRDefault="009C76FB" w:rsidP="00A95CF7">
      <w:pPr>
        <w:jc w:val="both"/>
        <w:rPr>
          <w:bCs/>
          <w:szCs w:val="22"/>
        </w:rPr>
      </w:pPr>
    </w:p>
    <w:p w14:paraId="5E803BF7" w14:textId="20B52756" w:rsidR="009C76FB" w:rsidRPr="00A95CF7" w:rsidRDefault="009C76FB" w:rsidP="00A95CF7">
      <w:pPr>
        <w:ind w:firstLine="708"/>
        <w:jc w:val="both"/>
        <w:rPr>
          <w:bCs/>
          <w:szCs w:val="22"/>
        </w:rPr>
      </w:pPr>
      <w:r w:rsidRPr="00A95CF7">
        <w:rPr>
          <w:szCs w:val="22"/>
        </w:rPr>
        <w:t>That the innovations being seen in the regulatory and technological field can accelerate the bridging of the digital divide,</w:t>
      </w:r>
    </w:p>
    <w:p w14:paraId="5E04762F" w14:textId="5DD4DACA" w:rsidR="009C76FB" w:rsidRPr="00A95CF7" w:rsidRDefault="009C76FB" w:rsidP="00A95CF7">
      <w:pPr>
        <w:rPr>
          <w:bCs/>
          <w:szCs w:val="22"/>
        </w:rPr>
      </w:pPr>
    </w:p>
    <w:p w14:paraId="4A396172" w14:textId="3D5AC355" w:rsidR="009C76FB" w:rsidRPr="00A95CF7" w:rsidRDefault="009C76FB" w:rsidP="00A95CF7">
      <w:pPr>
        <w:rPr>
          <w:bCs/>
          <w:szCs w:val="22"/>
        </w:rPr>
      </w:pPr>
      <w:r w:rsidRPr="00A95CF7">
        <w:rPr>
          <w:szCs w:val="22"/>
        </w:rPr>
        <w:t xml:space="preserve">RECOGNIZING FURTHER: </w:t>
      </w:r>
    </w:p>
    <w:p w14:paraId="165C3B3E" w14:textId="77777777" w:rsidR="009C76FB" w:rsidRPr="00A95CF7" w:rsidRDefault="009C76FB" w:rsidP="00A95CF7">
      <w:pPr>
        <w:rPr>
          <w:bCs/>
          <w:szCs w:val="22"/>
        </w:rPr>
      </w:pPr>
    </w:p>
    <w:p w14:paraId="6B59716B" w14:textId="5C2CCE00" w:rsidR="009C76FB" w:rsidRPr="00A95CF7" w:rsidRDefault="009C76FB" w:rsidP="00A95CF7">
      <w:pPr>
        <w:ind w:firstLine="708"/>
        <w:jc w:val="both"/>
        <w:rPr>
          <w:bCs/>
          <w:szCs w:val="22"/>
        </w:rPr>
      </w:pPr>
      <w:r w:rsidRPr="00A95CF7">
        <w:rPr>
          <w:szCs w:val="22"/>
        </w:rPr>
        <w:t xml:space="preserve">That </w:t>
      </w:r>
      <w:proofErr w:type="gramStart"/>
      <w:r w:rsidRPr="00A95CF7">
        <w:rPr>
          <w:szCs w:val="22"/>
        </w:rPr>
        <w:t>as a result of</w:t>
      </w:r>
      <w:proofErr w:type="gramEnd"/>
      <w:r w:rsidRPr="00A95CF7">
        <w:rPr>
          <w:szCs w:val="22"/>
        </w:rPr>
        <w:t xml:space="preserve"> the COVID-19 pandemic, there is an urgent need to accelerate the implementation of connectivity solutions to serve all citizens.</w:t>
      </w:r>
    </w:p>
    <w:p w14:paraId="6161030A" w14:textId="77777777" w:rsidR="009C76FB" w:rsidRPr="00A95CF7" w:rsidRDefault="009C76FB" w:rsidP="00A95CF7">
      <w:pPr>
        <w:jc w:val="both"/>
        <w:rPr>
          <w:bCs/>
          <w:szCs w:val="22"/>
        </w:rPr>
      </w:pPr>
    </w:p>
    <w:p w14:paraId="61BE897F" w14:textId="00ABB997" w:rsidR="009C76FB" w:rsidRPr="00A95CF7" w:rsidRDefault="009C76FB" w:rsidP="00A95CF7">
      <w:pPr>
        <w:ind w:firstLine="708"/>
        <w:jc w:val="both"/>
        <w:rPr>
          <w:bCs/>
          <w:szCs w:val="22"/>
        </w:rPr>
      </w:pPr>
      <w:r w:rsidRPr="00A95CF7">
        <w:rPr>
          <w:szCs w:val="22"/>
        </w:rPr>
        <w:t>The importance of technological neutrality.</w:t>
      </w:r>
    </w:p>
    <w:p w14:paraId="65ADB86F" w14:textId="77777777" w:rsidR="009C76FB" w:rsidRPr="00A95CF7" w:rsidRDefault="009C76FB" w:rsidP="00A95CF7">
      <w:pPr>
        <w:jc w:val="both"/>
        <w:rPr>
          <w:bCs/>
          <w:szCs w:val="22"/>
        </w:rPr>
      </w:pPr>
    </w:p>
    <w:p w14:paraId="5489585C" w14:textId="01655136" w:rsidR="009C76FB" w:rsidRPr="00A95CF7" w:rsidRDefault="009C76FB" w:rsidP="00A95CF7">
      <w:pPr>
        <w:ind w:firstLine="708"/>
        <w:jc w:val="both"/>
        <w:rPr>
          <w:bCs/>
          <w:szCs w:val="22"/>
        </w:rPr>
      </w:pPr>
      <w:r w:rsidRPr="00A95CF7">
        <w:rPr>
          <w:szCs w:val="22"/>
        </w:rPr>
        <w:t>That the availability of spectrum and orbit resources are an extremely important input to bridge the connectivity divide and should be developed as recommended by the ITU-R and other similar organizations.</w:t>
      </w:r>
    </w:p>
    <w:p w14:paraId="340F99B0" w14:textId="77777777" w:rsidR="009C76FB" w:rsidRPr="00A95CF7" w:rsidRDefault="009C76FB" w:rsidP="00A95CF7">
      <w:pPr>
        <w:jc w:val="both"/>
        <w:rPr>
          <w:bCs/>
          <w:szCs w:val="22"/>
        </w:rPr>
      </w:pPr>
    </w:p>
    <w:p w14:paraId="5587CDBA" w14:textId="6AFE0894" w:rsidR="009C76FB" w:rsidRPr="00A95CF7" w:rsidRDefault="009C76FB" w:rsidP="00A95CF7">
      <w:pPr>
        <w:ind w:firstLine="708"/>
        <w:jc w:val="both"/>
        <w:rPr>
          <w:bCs/>
          <w:szCs w:val="22"/>
        </w:rPr>
      </w:pPr>
      <w:r w:rsidRPr="00A95CF7">
        <w:rPr>
          <w:szCs w:val="22"/>
        </w:rPr>
        <w:t xml:space="preserve">That the administrations may have different priorities, legal and regulatory requirements, social and economic-financial </w:t>
      </w:r>
      <w:proofErr w:type="gramStart"/>
      <w:r w:rsidRPr="00A95CF7">
        <w:rPr>
          <w:szCs w:val="22"/>
        </w:rPr>
        <w:t>conditions</w:t>
      </w:r>
      <w:proofErr w:type="gramEnd"/>
      <w:r w:rsidRPr="00A95CF7">
        <w:rPr>
          <w:szCs w:val="22"/>
        </w:rPr>
        <w:t xml:space="preserve"> and availability of radioelectric spectrum.</w:t>
      </w:r>
    </w:p>
    <w:p w14:paraId="55EC3BC6" w14:textId="77777777" w:rsidR="009C76FB" w:rsidRPr="00A95CF7" w:rsidRDefault="009C76FB" w:rsidP="00A95CF7">
      <w:pPr>
        <w:jc w:val="both"/>
        <w:rPr>
          <w:bCs/>
          <w:szCs w:val="22"/>
        </w:rPr>
      </w:pPr>
    </w:p>
    <w:p w14:paraId="0A204696" w14:textId="0F6C56B3" w:rsidR="00A95CF7" w:rsidRDefault="009C76FB" w:rsidP="007C3125">
      <w:pPr>
        <w:ind w:firstLine="708"/>
        <w:jc w:val="both"/>
        <w:rPr>
          <w:szCs w:val="22"/>
        </w:rPr>
      </w:pPr>
      <w:r w:rsidRPr="00A95CF7">
        <w:rPr>
          <w:szCs w:val="22"/>
        </w:rPr>
        <w:t>That it is necessary to consider new alternatives, technologies, means of access, and services that can solve in the short term the lack of connectivity and Telecommunication/ICT services in areas that do not have them or that are not affordable.</w:t>
      </w:r>
    </w:p>
    <w:p w14:paraId="2EBDE103" w14:textId="77777777" w:rsidR="00A95CF7" w:rsidRDefault="00A95CF7" w:rsidP="00A95CF7">
      <w:pPr>
        <w:rPr>
          <w:szCs w:val="22"/>
        </w:rPr>
      </w:pPr>
    </w:p>
    <w:p w14:paraId="7DD0DF28" w14:textId="77777777" w:rsidR="00CD1175" w:rsidRDefault="00CD1175">
      <w:pPr>
        <w:rPr>
          <w:szCs w:val="22"/>
        </w:rPr>
      </w:pPr>
      <w:r>
        <w:rPr>
          <w:szCs w:val="22"/>
        </w:rPr>
        <w:br w:type="page"/>
      </w:r>
    </w:p>
    <w:p w14:paraId="1FFA6900" w14:textId="4A641D9D" w:rsidR="009C76FB" w:rsidRPr="00A95CF7" w:rsidRDefault="009C76FB" w:rsidP="00A95CF7">
      <w:pPr>
        <w:rPr>
          <w:bCs/>
          <w:szCs w:val="22"/>
        </w:rPr>
      </w:pPr>
      <w:r w:rsidRPr="00A95CF7">
        <w:rPr>
          <w:szCs w:val="22"/>
        </w:rPr>
        <w:lastRenderedPageBreak/>
        <w:t>INVITES THE MEMBER STATES:</w:t>
      </w:r>
    </w:p>
    <w:p w14:paraId="649ADE8B" w14:textId="77777777" w:rsidR="009C76FB" w:rsidRPr="00A95CF7" w:rsidRDefault="009C76FB" w:rsidP="00A95CF7">
      <w:pPr>
        <w:rPr>
          <w:bCs/>
          <w:szCs w:val="22"/>
        </w:rPr>
      </w:pPr>
    </w:p>
    <w:p w14:paraId="24586785" w14:textId="77777777" w:rsidR="009C76FB" w:rsidRPr="00A95CF7" w:rsidRDefault="009C76FB" w:rsidP="00A95CF7">
      <w:pPr>
        <w:jc w:val="both"/>
        <w:rPr>
          <w:bCs/>
          <w:szCs w:val="22"/>
        </w:rPr>
      </w:pPr>
      <w:r w:rsidRPr="00A95CF7">
        <w:rPr>
          <w:szCs w:val="22"/>
        </w:rPr>
        <w:tab/>
        <w:t xml:space="preserve">That CITEL administrations that wish to develop projects or initiatives for the expansion of Telecommunications/ICTs in rural, </w:t>
      </w:r>
      <w:proofErr w:type="gramStart"/>
      <w:r w:rsidRPr="00A95CF7">
        <w:rPr>
          <w:szCs w:val="22"/>
        </w:rPr>
        <w:t>unserved</w:t>
      </w:r>
      <w:proofErr w:type="gramEnd"/>
      <w:r w:rsidRPr="00A95CF7">
        <w:rPr>
          <w:szCs w:val="22"/>
        </w:rPr>
        <w:t xml:space="preserve"> or underserved areas, observing the regulatory provisions applicable in each country, consider the following initiatives:</w:t>
      </w:r>
    </w:p>
    <w:p w14:paraId="6E8817CE" w14:textId="77777777" w:rsidR="009C76FB" w:rsidRPr="00A95CF7" w:rsidRDefault="009C76FB" w:rsidP="00A95CF7">
      <w:pPr>
        <w:jc w:val="both"/>
        <w:rPr>
          <w:bCs/>
          <w:szCs w:val="22"/>
        </w:rPr>
      </w:pPr>
    </w:p>
    <w:p w14:paraId="76062667" w14:textId="77777777" w:rsidR="009C76FB" w:rsidRPr="00A95CF7" w:rsidRDefault="009C76FB" w:rsidP="00A95CF7">
      <w:pPr>
        <w:ind w:firstLine="708"/>
        <w:jc w:val="both"/>
        <w:rPr>
          <w:bCs/>
          <w:szCs w:val="22"/>
        </w:rPr>
      </w:pPr>
      <w:r w:rsidRPr="00A95CF7">
        <w:rPr>
          <w:szCs w:val="22"/>
        </w:rPr>
        <w:t>1.</w:t>
      </w:r>
      <w:r w:rsidRPr="00A95CF7">
        <w:rPr>
          <w:szCs w:val="22"/>
        </w:rPr>
        <w:tab/>
        <w:t>Promoting the use of universal service funds or assistance funds for connectivity projects aimed at remote or underserved rural areas and ensuring they have the facilities that would make it possible for them to gain access to all kinds of operators.</w:t>
      </w:r>
    </w:p>
    <w:p w14:paraId="64FC4543" w14:textId="77777777" w:rsidR="009C76FB" w:rsidRPr="00A95CF7" w:rsidRDefault="009C76FB" w:rsidP="00A95CF7">
      <w:pPr>
        <w:jc w:val="both"/>
        <w:rPr>
          <w:bCs/>
          <w:szCs w:val="22"/>
        </w:rPr>
      </w:pPr>
    </w:p>
    <w:p w14:paraId="3CFA0151" w14:textId="77777777" w:rsidR="009C76FB" w:rsidRPr="00A95CF7" w:rsidRDefault="009C76FB" w:rsidP="00A95CF7">
      <w:pPr>
        <w:ind w:firstLine="708"/>
        <w:jc w:val="both"/>
        <w:rPr>
          <w:bCs/>
          <w:szCs w:val="22"/>
        </w:rPr>
      </w:pPr>
      <w:r w:rsidRPr="00A95CF7">
        <w:rPr>
          <w:szCs w:val="22"/>
        </w:rPr>
        <w:t>2.</w:t>
      </w:r>
      <w:r w:rsidRPr="00A95CF7">
        <w:rPr>
          <w:szCs w:val="22"/>
        </w:rPr>
        <w:tab/>
        <w:t>Fostering and supporting the implementation of business models that motivate the entry of new economic agents and promote their financial sustainability.</w:t>
      </w:r>
    </w:p>
    <w:p w14:paraId="5E11626E" w14:textId="77777777" w:rsidR="009C76FB" w:rsidRPr="00A95CF7" w:rsidRDefault="009C76FB" w:rsidP="00A95CF7">
      <w:pPr>
        <w:jc w:val="both"/>
        <w:rPr>
          <w:bCs/>
          <w:szCs w:val="22"/>
        </w:rPr>
      </w:pPr>
    </w:p>
    <w:p w14:paraId="5BFA0647" w14:textId="77777777" w:rsidR="009C76FB" w:rsidRPr="00A95CF7" w:rsidRDefault="009C76FB" w:rsidP="00A95CF7">
      <w:pPr>
        <w:ind w:firstLine="708"/>
        <w:jc w:val="both"/>
        <w:rPr>
          <w:bCs/>
          <w:szCs w:val="22"/>
        </w:rPr>
      </w:pPr>
      <w:r w:rsidRPr="00A95CF7">
        <w:rPr>
          <w:szCs w:val="22"/>
        </w:rPr>
        <w:t>3.</w:t>
      </w:r>
      <w:r w:rsidRPr="00A95CF7">
        <w:rPr>
          <w:szCs w:val="22"/>
        </w:rPr>
        <w:tab/>
        <w:t>Encouraging the discussion, in the region’s countries, of the analysis of fiscal measures to favor connectivity.</w:t>
      </w:r>
    </w:p>
    <w:p w14:paraId="21CFB659" w14:textId="77777777" w:rsidR="009C76FB" w:rsidRPr="00A95CF7" w:rsidRDefault="009C76FB" w:rsidP="00A95CF7">
      <w:pPr>
        <w:jc w:val="both"/>
        <w:rPr>
          <w:bCs/>
          <w:szCs w:val="22"/>
        </w:rPr>
      </w:pPr>
    </w:p>
    <w:p w14:paraId="38934508" w14:textId="77777777" w:rsidR="009C76FB" w:rsidRPr="00A95CF7" w:rsidRDefault="009C76FB" w:rsidP="00A95CF7">
      <w:pPr>
        <w:ind w:firstLine="708"/>
        <w:jc w:val="both"/>
        <w:rPr>
          <w:bCs/>
          <w:szCs w:val="22"/>
        </w:rPr>
      </w:pPr>
      <w:r w:rsidRPr="00A95CF7">
        <w:rPr>
          <w:szCs w:val="22"/>
        </w:rPr>
        <w:t>4.</w:t>
      </w:r>
      <w:r w:rsidRPr="00A95CF7">
        <w:rPr>
          <w:szCs w:val="22"/>
        </w:rPr>
        <w:tab/>
        <w:t>Rural connectivity policies should give priority to technologies and projects that show sustainability, efficiency, and rapid implementation in rural areas.</w:t>
      </w:r>
    </w:p>
    <w:p w14:paraId="04CC0F70" w14:textId="77777777" w:rsidR="009C76FB" w:rsidRPr="00A95CF7" w:rsidRDefault="009C76FB" w:rsidP="00A95CF7">
      <w:pPr>
        <w:jc w:val="both"/>
        <w:rPr>
          <w:bCs/>
          <w:szCs w:val="22"/>
        </w:rPr>
      </w:pPr>
    </w:p>
    <w:p w14:paraId="2378F2C3" w14:textId="77777777" w:rsidR="009C76FB" w:rsidRPr="00A95CF7" w:rsidRDefault="009C76FB" w:rsidP="00A95CF7">
      <w:pPr>
        <w:ind w:firstLine="708"/>
        <w:jc w:val="both"/>
        <w:rPr>
          <w:bCs/>
          <w:szCs w:val="22"/>
        </w:rPr>
      </w:pPr>
      <w:r w:rsidRPr="00A95CF7">
        <w:rPr>
          <w:szCs w:val="22"/>
        </w:rPr>
        <w:t>5.</w:t>
      </w:r>
      <w:r w:rsidRPr="00A95CF7">
        <w:rPr>
          <w:szCs w:val="22"/>
        </w:rPr>
        <w:tab/>
        <w:t xml:space="preserve">Boosting public and private investment, as well as public-private ventures, partnerships, and the sharing of infrastructure in rural areas. </w:t>
      </w:r>
    </w:p>
    <w:p w14:paraId="7205E9B8" w14:textId="77777777" w:rsidR="009C76FB" w:rsidRPr="00A95CF7" w:rsidRDefault="009C76FB" w:rsidP="00A95CF7">
      <w:pPr>
        <w:jc w:val="both"/>
        <w:rPr>
          <w:bCs/>
          <w:szCs w:val="22"/>
        </w:rPr>
      </w:pPr>
    </w:p>
    <w:p w14:paraId="67E4319A" w14:textId="77777777" w:rsidR="009C76FB" w:rsidRPr="00A95CF7" w:rsidRDefault="009C76FB" w:rsidP="00A95CF7">
      <w:pPr>
        <w:ind w:firstLine="708"/>
        <w:jc w:val="both"/>
        <w:rPr>
          <w:bCs/>
          <w:szCs w:val="22"/>
        </w:rPr>
      </w:pPr>
      <w:r w:rsidRPr="00A95CF7">
        <w:rPr>
          <w:szCs w:val="22"/>
        </w:rPr>
        <w:t>6.</w:t>
      </w:r>
      <w:r w:rsidRPr="00A95CF7">
        <w:rPr>
          <w:szCs w:val="22"/>
        </w:rPr>
        <w:tab/>
        <w:t>Promoting local innovation ecosystems, as well as strategies for ownership of technology in rural areas.</w:t>
      </w:r>
    </w:p>
    <w:p w14:paraId="384FC13B" w14:textId="77777777" w:rsidR="009C76FB" w:rsidRPr="00A95CF7" w:rsidRDefault="009C76FB" w:rsidP="00A95CF7">
      <w:pPr>
        <w:jc w:val="both"/>
        <w:rPr>
          <w:bCs/>
          <w:szCs w:val="22"/>
        </w:rPr>
      </w:pPr>
    </w:p>
    <w:p w14:paraId="66B4B791" w14:textId="77777777" w:rsidR="009C76FB" w:rsidRPr="00A95CF7" w:rsidRDefault="009C76FB" w:rsidP="00A95CF7">
      <w:pPr>
        <w:ind w:firstLine="708"/>
        <w:jc w:val="both"/>
        <w:rPr>
          <w:bCs/>
          <w:szCs w:val="22"/>
        </w:rPr>
      </w:pPr>
      <w:r w:rsidRPr="00A95CF7">
        <w:rPr>
          <w:szCs w:val="22"/>
        </w:rPr>
        <w:t>7.</w:t>
      </w:r>
      <w:r w:rsidRPr="00A95CF7">
        <w:rPr>
          <w:szCs w:val="22"/>
        </w:rPr>
        <w:tab/>
        <w:t>Providing incentives for the participation of small and community operators in providing services to unserved areas, through specific licensing measures, access to key infrastructure, and social coverage promotion programs.</w:t>
      </w:r>
    </w:p>
    <w:p w14:paraId="3DF32C4A" w14:textId="77777777" w:rsidR="009C76FB" w:rsidRPr="00A95CF7" w:rsidRDefault="009C76FB" w:rsidP="00A95CF7">
      <w:pPr>
        <w:jc w:val="both"/>
        <w:rPr>
          <w:bCs/>
          <w:szCs w:val="22"/>
        </w:rPr>
      </w:pPr>
    </w:p>
    <w:p w14:paraId="34F6DAF7" w14:textId="77777777" w:rsidR="009C76FB" w:rsidRPr="00A95CF7" w:rsidRDefault="009C76FB" w:rsidP="00A95CF7">
      <w:pPr>
        <w:ind w:firstLine="708"/>
        <w:jc w:val="both"/>
        <w:rPr>
          <w:bCs/>
          <w:szCs w:val="22"/>
        </w:rPr>
      </w:pPr>
      <w:r w:rsidRPr="00A95CF7">
        <w:rPr>
          <w:szCs w:val="22"/>
        </w:rPr>
        <w:t>8.</w:t>
      </w:r>
      <w:r w:rsidRPr="00A95CF7">
        <w:rPr>
          <w:szCs w:val="22"/>
        </w:rPr>
        <w:tab/>
        <w:t>Promoting cooperation and dismantling barriers to the deployment of infrastructure between central and local government to resolve the issues of permits and rights of way.</w:t>
      </w:r>
    </w:p>
    <w:p w14:paraId="7D3B0587" w14:textId="77777777" w:rsidR="009C76FB" w:rsidRPr="00A95CF7" w:rsidRDefault="009C76FB" w:rsidP="00A95CF7">
      <w:pPr>
        <w:jc w:val="both"/>
        <w:rPr>
          <w:bCs/>
          <w:szCs w:val="22"/>
        </w:rPr>
      </w:pPr>
    </w:p>
    <w:p w14:paraId="5C4FF70A" w14:textId="77777777" w:rsidR="009C76FB" w:rsidRPr="00A95CF7" w:rsidRDefault="009C76FB" w:rsidP="00A95CF7">
      <w:pPr>
        <w:ind w:firstLine="708"/>
        <w:jc w:val="both"/>
        <w:rPr>
          <w:bCs/>
          <w:szCs w:val="22"/>
        </w:rPr>
      </w:pPr>
      <w:r w:rsidRPr="00A95CF7">
        <w:rPr>
          <w:szCs w:val="22"/>
        </w:rPr>
        <w:t>9.</w:t>
      </w:r>
      <w:r w:rsidRPr="00A95CF7">
        <w:rPr>
          <w:szCs w:val="22"/>
        </w:rPr>
        <w:tab/>
        <w:t xml:space="preserve">Promoting the drafting of Guides on Best Practices for the deployment of infrastructure, as well as the standardization of local requirements and regulations. </w:t>
      </w:r>
    </w:p>
    <w:p w14:paraId="02C52329" w14:textId="77777777" w:rsidR="009C76FB" w:rsidRPr="00A95CF7" w:rsidRDefault="009C76FB" w:rsidP="00A95CF7">
      <w:pPr>
        <w:jc w:val="both"/>
        <w:rPr>
          <w:bCs/>
          <w:szCs w:val="22"/>
        </w:rPr>
      </w:pPr>
    </w:p>
    <w:p w14:paraId="5FE29E48" w14:textId="77777777" w:rsidR="009C76FB" w:rsidRPr="00A95CF7" w:rsidRDefault="009C76FB" w:rsidP="00A95CF7">
      <w:pPr>
        <w:ind w:firstLine="708"/>
        <w:jc w:val="both"/>
        <w:rPr>
          <w:bCs/>
          <w:szCs w:val="22"/>
        </w:rPr>
      </w:pPr>
      <w:r w:rsidRPr="00A95CF7">
        <w:rPr>
          <w:szCs w:val="22"/>
        </w:rPr>
        <w:t>10.</w:t>
      </w:r>
      <w:r w:rsidRPr="00A95CF7">
        <w:rPr>
          <w:szCs w:val="22"/>
        </w:rPr>
        <w:tab/>
        <w:t xml:space="preserve">Periodically examining the regulation applicable to rural connectivity </w:t>
      </w:r>
      <w:proofErr w:type="gramStart"/>
      <w:r w:rsidRPr="00A95CF7">
        <w:rPr>
          <w:szCs w:val="22"/>
        </w:rPr>
        <w:t>in order to</w:t>
      </w:r>
      <w:proofErr w:type="gramEnd"/>
      <w:r w:rsidRPr="00A95CF7">
        <w:rPr>
          <w:szCs w:val="22"/>
        </w:rPr>
        <w:t xml:space="preserve"> respond quickly to the specific demands and needs of connectivity in rural areas.</w:t>
      </w:r>
    </w:p>
    <w:p w14:paraId="13DF0774" w14:textId="77777777" w:rsidR="009C76FB" w:rsidRPr="00A95CF7" w:rsidRDefault="009C76FB" w:rsidP="00A95CF7">
      <w:pPr>
        <w:jc w:val="both"/>
        <w:rPr>
          <w:bCs/>
          <w:szCs w:val="22"/>
        </w:rPr>
      </w:pPr>
    </w:p>
    <w:p w14:paraId="6E2DA8B5" w14:textId="77777777" w:rsidR="009C76FB" w:rsidRPr="00A95CF7" w:rsidRDefault="009C76FB" w:rsidP="00A95CF7">
      <w:pPr>
        <w:ind w:firstLine="708"/>
        <w:jc w:val="both"/>
        <w:rPr>
          <w:bCs/>
          <w:szCs w:val="22"/>
        </w:rPr>
      </w:pPr>
      <w:r w:rsidRPr="00A95CF7">
        <w:rPr>
          <w:szCs w:val="22"/>
        </w:rPr>
        <w:t>11.</w:t>
      </w:r>
      <w:r w:rsidRPr="00A95CF7">
        <w:rPr>
          <w:szCs w:val="22"/>
        </w:rPr>
        <w:tab/>
        <w:t xml:space="preserve">Adapting minimum standards of service quality, speed, and continuity of service in rural communities. </w:t>
      </w:r>
    </w:p>
    <w:p w14:paraId="68AE111A" w14:textId="77777777" w:rsidR="009C76FB" w:rsidRPr="00A95CF7" w:rsidRDefault="009C76FB" w:rsidP="00A95CF7">
      <w:pPr>
        <w:jc w:val="both"/>
        <w:rPr>
          <w:bCs/>
          <w:szCs w:val="22"/>
        </w:rPr>
      </w:pPr>
    </w:p>
    <w:p w14:paraId="78D2FB44" w14:textId="77777777" w:rsidR="009C76FB" w:rsidRPr="00A95CF7" w:rsidRDefault="009C76FB" w:rsidP="00A95CF7">
      <w:pPr>
        <w:ind w:firstLine="708"/>
        <w:jc w:val="both"/>
        <w:rPr>
          <w:bCs/>
          <w:szCs w:val="22"/>
        </w:rPr>
      </w:pPr>
      <w:r w:rsidRPr="00A95CF7">
        <w:rPr>
          <w:szCs w:val="22"/>
        </w:rPr>
        <w:t>12.</w:t>
      </w:r>
      <w:r w:rsidRPr="00A95CF7">
        <w:rPr>
          <w:szCs w:val="22"/>
        </w:rPr>
        <w:tab/>
        <w:t>Promoting specific incentives for rural areas (investment, rates, contributions, etc.).</w:t>
      </w:r>
    </w:p>
    <w:p w14:paraId="50FE6453" w14:textId="77777777" w:rsidR="009C76FB" w:rsidRPr="00A95CF7" w:rsidRDefault="009C76FB" w:rsidP="00A95CF7">
      <w:pPr>
        <w:jc w:val="both"/>
        <w:rPr>
          <w:bCs/>
          <w:szCs w:val="22"/>
        </w:rPr>
      </w:pPr>
    </w:p>
    <w:p w14:paraId="4A5BB179" w14:textId="77777777" w:rsidR="009C76FB" w:rsidRPr="00A95CF7" w:rsidRDefault="009C76FB" w:rsidP="00A95CF7">
      <w:pPr>
        <w:ind w:firstLine="708"/>
        <w:jc w:val="both"/>
        <w:rPr>
          <w:bCs/>
          <w:szCs w:val="22"/>
        </w:rPr>
      </w:pPr>
      <w:r w:rsidRPr="00A95CF7">
        <w:rPr>
          <w:szCs w:val="22"/>
        </w:rPr>
        <w:t>13.</w:t>
      </w:r>
      <w:r w:rsidRPr="00A95CF7">
        <w:rPr>
          <w:szCs w:val="22"/>
        </w:rPr>
        <w:tab/>
        <w:t xml:space="preserve">Continually measuring the progress of projects </w:t>
      </w:r>
      <w:proofErr w:type="gramStart"/>
      <w:r w:rsidRPr="00A95CF7">
        <w:rPr>
          <w:szCs w:val="22"/>
        </w:rPr>
        <w:t>in order to</w:t>
      </w:r>
      <w:proofErr w:type="gramEnd"/>
      <w:r w:rsidRPr="00A95CF7">
        <w:rPr>
          <w:szCs w:val="22"/>
        </w:rPr>
        <w:t xml:space="preserve"> foster connectivity, publishing their reports systematically and continually, measuring their impact, and adopting necessary corrective measures, if any.</w:t>
      </w:r>
    </w:p>
    <w:p w14:paraId="3AB44952" w14:textId="77777777" w:rsidR="009C76FB" w:rsidRPr="00A95CF7" w:rsidRDefault="009C76FB" w:rsidP="00A95CF7">
      <w:pPr>
        <w:jc w:val="both"/>
        <w:rPr>
          <w:bCs/>
          <w:szCs w:val="22"/>
        </w:rPr>
      </w:pPr>
    </w:p>
    <w:p w14:paraId="316DAAE1" w14:textId="77777777" w:rsidR="009C76FB" w:rsidRPr="00A95CF7" w:rsidRDefault="009C76FB" w:rsidP="00A95CF7">
      <w:pPr>
        <w:ind w:firstLine="708"/>
        <w:jc w:val="both"/>
        <w:rPr>
          <w:bCs/>
          <w:szCs w:val="22"/>
        </w:rPr>
      </w:pPr>
      <w:r w:rsidRPr="00A95CF7">
        <w:rPr>
          <w:szCs w:val="22"/>
        </w:rPr>
        <w:lastRenderedPageBreak/>
        <w:t>14.</w:t>
      </w:r>
      <w:r w:rsidRPr="00A95CF7">
        <w:rPr>
          <w:szCs w:val="22"/>
        </w:rPr>
        <w:tab/>
        <w:t xml:space="preserve">Fostering the development of a connectivity mapping system that identifies the places where there is installed infrastructure and connectivity. </w:t>
      </w:r>
    </w:p>
    <w:p w14:paraId="57413647" w14:textId="77777777" w:rsidR="009C76FB" w:rsidRPr="00A95CF7" w:rsidRDefault="009C76FB" w:rsidP="00A95CF7">
      <w:pPr>
        <w:jc w:val="both"/>
        <w:rPr>
          <w:bCs/>
          <w:szCs w:val="22"/>
        </w:rPr>
      </w:pPr>
    </w:p>
    <w:p w14:paraId="7BCC3900" w14:textId="66AB5A9B" w:rsidR="009C76FB" w:rsidRPr="00A95CF7" w:rsidRDefault="009C76FB" w:rsidP="00A95CF7">
      <w:pPr>
        <w:ind w:firstLine="708"/>
        <w:jc w:val="both"/>
        <w:rPr>
          <w:bCs/>
          <w:szCs w:val="22"/>
        </w:rPr>
      </w:pPr>
      <w:r w:rsidRPr="00A95CF7">
        <w:rPr>
          <w:szCs w:val="22"/>
        </w:rPr>
        <w:t>15.</w:t>
      </w:r>
      <w:r w:rsidRPr="00A95CF7">
        <w:rPr>
          <w:szCs w:val="22"/>
        </w:rPr>
        <w:tab/>
        <w:t>Creating a regulatory environment that fosters innovation and investment for technological development, analyzing all the technological offers for connectivity in accordance with the needs of each country.</w:t>
      </w:r>
    </w:p>
    <w:p w14:paraId="64B3B4D3" w14:textId="2C28D0D6" w:rsidR="009C76FB" w:rsidRPr="00A95CF7" w:rsidRDefault="009C76FB" w:rsidP="00A95CF7">
      <w:pPr>
        <w:jc w:val="both"/>
        <w:rPr>
          <w:bCs/>
          <w:szCs w:val="22"/>
        </w:rPr>
      </w:pPr>
    </w:p>
    <w:p w14:paraId="5D2CFE5C" w14:textId="7CE892B6" w:rsidR="009C76FB" w:rsidRPr="00A95CF7" w:rsidRDefault="009C76FB" w:rsidP="00A95CF7">
      <w:pPr>
        <w:ind w:firstLine="708"/>
        <w:jc w:val="both"/>
        <w:rPr>
          <w:bCs/>
          <w:szCs w:val="22"/>
        </w:rPr>
      </w:pPr>
      <w:r w:rsidRPr="00A95CF7">
        <w:rPr>
          <w:szCs w:val="22"/>
        </w:rPr>
        <w:t>16.</w:t>
      </w:r>
      <w:r w:rsidRPr="00A95CF7">
        <w:rPr>
          <w:szCs w:val="22"/>
        </w:rPr>
        <w:tab/>
        <w:t>Analyzing the relevance of allowing operators to allocate partially or totally the due contribution amount to access and universal services funds for rural connectivity projects defined by connectivity policies in accordance with the needs of each country.</w:t>
      </w:r>
    </w:p>
    <w:p w14:paraId="2226E4FE" w14:textId="77777777" w:rsidR="009C76FB" w:rsidRPr="00A95CF7" w:rsidRDefault="009C76FB" w:rsidP="00A95CF7">
      <w:pPr>
        <w:jc w:val="both"/>
        <w:rPr>
          <w:bCs/>
          <w:szCs w:val="22"/>
        </w:rPr>
      </w:pPr>
    </w:p>
    <w:p w14:paraId="492BA862" w14:textId="77777777" w:rsidR="009C76FB" w:rsidRPr="00A95CF7" w:rsidRDefault="009C76FB" w:rsidP="00A95CF7">
      <w:pPr>
        <w:ind w:firstLine="708"/>
        <w:jc w:val="both"/>
        <w:rPr>
          <w:bCs/>
          <w:szCs w:val="22"/>
        </w:rPr>
      </w:pPr>
      <w:r w:rsidRPr="00A95CF7">
        <w:rPr>
          <w:szCs w:val="22"/>
        </w:rPr>
        <w:t>17.</w:t>
      </w:r>
      <w:r w:rsidRPr="00A95CF7">
        <w:rPr>
          <w:szCs w:val="22"/>
        </w:rPr>
        <w:tab/>
        <w:t>Considering the possibility, if the policies and laws of the country allow it, for enterprises that have deployed connectivity in rural areas to be exempted from the mandatory contribution to the universal access and service fund.</w:t>
      </w:r>
      <w:r w:rsidRPr="00A95CF7">
        <w:rPr>
          <w:szCs w:val="22"/>
        </w:rPr>
        <w:tab/>
      </w:r>
    </w:p>
    <w:p w14:paraId="2AE795B7" w14:textId="3034EBA8" w:rsidR="009C76FB" w:rsidRPr="00A95CF7" w:rsidRDefault="009C76FB" w:rsidP="00A95CF7">
      <w:pPr>
        <w:jc w:val="both"/>
        <w:rPr>
          <w:bCs/>
          <w:szCs w:val="22"/>
        </w:rPr>
      </w:pPr>
    </w:p>
    <w:p w14:paraId="1167465B" w14:textId="6BBCDC52" w:rsidR="009C76FB" w:rsidRPr="00A95CF7" w:rsidRDefault="009C76FB" w:rsidP="00A95CF7">
      <w:pPr>
        <w:ind w:firstLine="708"/>
        <w:jc w:val="both"/>
        <w:rPr>
          <w:bCs/>
          <w:szCs w:val="22"/>
        </w:rPr>
      </w:pPr>
      <w:r w:rsidRPr="00A95CF7">
        <w:rPr>
          <w:szCs w:val="22"/>
        </w:rPr>
        <w:t xml:space="preserve">18. </w:t>
      </w:r>
      <w:r w:rsidRPr="00A95CF7">
        <w:rPr>
          <w:szCs w:val="22"/>
        </w:rPr>
        <w:tab/>
        <w:t xml:space="preserve">Consider incentives for suitable use of the radioelectric spectrum to expand the coverage of affordable, quality Telecommunication/ICT services, implementing flexible regulatory frameworks that facilitate access to service and the use of radioelectric spectrum, </w:t>
      </w:r>
      <w:proofErr w:type="gramStart"/>
      <w:r w:rsidRPr="00A95CF7">
        <w:rPr>
          <w:szCs w:val="22"/>
        </w:rPr>
        <w:t>in order to</w:t>
      </w:r>
      <w:proofErr w:type="gramEnd"/>
      <w:r w:rsidRPr="00A95CF7">
        <w:rPr>
          <w:szCs w:val="22"/>
        </w:rPr>
        <w:t xml:space="preserve"> encourage investment in these areas and promote compliance with service coverage obligations.</w:t>
      </w:r>
    </w:p>
    <w:p w14:paraId="4202BF5D" w14:textId="77777777" w:rsidR="009C76FB" w:rsidRPr="00A95CF7" w:rsidRDefault="009C76FB" w:rsidP="00A95CF7">
      <w:pPr>
        <w:jc w:val="both"/>
        <w:rPr>
          <w:bCs/>
          <w:szCs w:val="22"/>
        </w:rPr>
      </w:pPr>
    </w:p>
    <w:p w14:paraId="7E74365D" w14:textId="41000627" w:rsidR="009C76FB" w:rsidRPr="00A95CF7" w:rsidRDefault="009C76FB" w:rsidP="00A95CF7">
      <w:pPr>
        <w:ind w:firstLine="708"/>
        <w:jc w:val="both"/>
        <w:rPr>
          <w:bCs/>
          <w:szCs w:val="22"/>
        </w:rPr>
      </w:pPr>
      <w:r w:rsidRPr="00A95CF7">
        <w:rPr>
          <w:szCs w:val="22"/>
        </w:rPr>
        <w:t xml:space="preserve">19. </w:t>
      </w:r>
      <w:r w:rsidRPr="00A95CF7">
        <w:rPr>
          <w:szCs w:val="22"/>
        </w:rPr>
        <w:tab/>
        <w:t xml:space="preserve">Consider alternative, innovative models for assignments, </w:t>
      </w:r>
      <w:proofErr w:type="gramStart"/>
      <w:r w:rsidRPr="00A95CF7">
        <w:rPr>
          <w:szCs w:val="22"/>
        </w:rPr>
        <w:t>licensing</w:t>
      </w:r>
      <w:proofErr w:type="gramEnd"/>
      <w:r w:rsidRPr="00A95CF7">
        <w:rPr>
          <w:szCs w:val="22"/>
        </w:rPr>
        <w:t xml:space="preserve"> and payment for the use of radioelectric spectrum that aim to facilitate the expansion of coverage.</w:t>
      </w:r>
    </w:p>
    <w:p w14:paraId="4B5676FC" w14:textId="77777777" w:rsidR="009C76FB" w:rsidRPr="00A95CF7" w:rsidRDefault="009C76FB" w:rsidP="00A95CF7">
      <w:pPr>
        <w:jc w:val="both"/>
        <w:rPr>
          <w:bCs/>
          <w:szCs w:val="22"/>
        </w:rPr>
      </w:pPr>
    </w:p>
    <w:p w14:paraId="4F1F7C49" w14:textId="2E50E87E" w:rsidR="009C76FB" w:rsidRPr="00A95CF7" w:rsidRDefault="009C76FB" w:rsidP="00A95CF7">
      <w:pPr>
        <w:ind w:firstLine="708"/>
        <w:jc w:val="both"/>
        <w:rPr>
          <w:bCs/>
          <w:szCs w:val="22"/>
        </w:rPr>
      </w:pPr>
      <w:r w:rsidRPr="00A95CF7">
        <w:rPr>
          <w:szCs w:val="22"/>
        </w:rPr>
        <w:t>20.</w:t>
      </w:r>
      <w:r w:rsidRPr="00A95CF7">
        <w:rPr>
          <w:szCs w:val="22"/>
        </w:rPr>
        <w:tab/>
        <w:t>Consider policies to promote targeted investments aimed at satellite, and terrestrial solutions including, aeronautical and stratospheric platforms, among others that could provide Telecommunication/ICT services in the short term.</w:t>
      </w:r>
    </w:p>
    <w:p w14:paraId="05EFD517" w14:textId="77777777" w:rsidR="009C76FB" w:rsidRPr="00A95CF7" w:rsidRDefault="009C76FB" w:rsidP="00A95CF7">
      <w:pPr>
        <w:jc w:val="both"/>
        <w:rPr>
          <w:bCs/>
          <w:szCs w:val="22"/>
        </w:rPr>
      </w:pPr>
    </w:p>
    <w:p w14:paraId="65D0E2D6" w14:textId="3E65F5CA" w:rsidR="00EE508E" w:rsidRDefault="009C76FB" w:rsidP="00A95CF7">
      <w:pPr>
        <w:ind w:firstLine="708"/>
        <w:jc w:val="both"/>
        <w:rPr>
          <w:bCs/>
          <w:szCs w:val="22"/>
        </w:rPr>
      </w:pPr>
      <w:r w:rsidRPr="00A95CF7">
        <w:rPr>
          <w:szCs w:val="22"/>
        </w:rPr>
        <w:t>21.</w:t>
      </w:r>
      <w:r w:rsidRPr="00A95CF7">
        <w:rPr>
          <w:szCs w:val="22"/>
        </w:rPr>
        <w:tab/>
      </w:r>
      <w:r w:rsidR="007C32D2" w:rsidRPr="00A95CF7">
        <w:rPr>
          <w:bCs/>
          <w:szCs w:val="22"/>
        </w:rPr>
        <w:t>Consider implementing new technologies and techniques for dynamic management of licensed and license-exempt radioelectric spectrum to enable its flexible or shared use.</w:t>
      </w:r>
    </w:p>
    <w:p w14:paraId="68932B4F" w14:textId="7552C2CB" w:rsidR="00A51BE9" w:rsidRDefault="00A51BE9" w:rsidP="00A95CF7">
      <w:pPr>
        <w:ind w:firstLine="708"/>
        <w:jc w:val="both"/>
        <w:rPr>
          <w:bCs/>
          <w:szCs w:val="22"/>
        </w:rPr>
      </w:pPr>
    </w:p>
    <w:p w14:paraId="0307EECB" w14:textId="62609DC3" w:rsidR="00A51BE9" w:rsidRDefault="00A51BE9" w:rsidP="00A95CF7">
      <w:pPr>
        <w:ind w:firstLine="708"/>
        <w:jc w:val="both"/>
        <w:rPr>
          <w:bCs/>
          <w:szCs w:val="22"/>
        </w:rPr>
      </w:pPr>
    </w:p>
    <w:p w14:paraId="2F912EA4" w14:textId="7092CBC8" w:rsidR="00A51BE9" w:rsidRPr="00A95CF7" w:rsidRDefault="00A51BE9" w:rsidP="00A95CF7">
      <w:pPr>
        <w:ind w:firstLine="708"/>
        <w:jc w:val="both"/>
        <w:rPr>
          <w:spacing w:val="-2"/>
          <w:szCs w:val="22"/>
          <w:u w:val="single"/>
        </w:rPr>
      </w:pPr>
      <w:r>
        <w:rPr>
          <w:noProof/>
        </w:rPr>
        <w:drawing>
          <wp:anchor distT="0" distB="0" distL="114300" distR="114300" simplePos="0" relativeHeight="251659264" behindDoc="0" locked="0" layoutInCell="1" allowOverlap="1" wp14:anchorId="54215030" wp14:editId="748E2ADB">
            <wp:simplePos x="0" y="0"/>
            <wp:positionH relativeFrom="margin">
              <wp:align>right</wp:align>
            </wp:positionH>
            <wp:positionV relativeFrom="paragraph">
              <wp:posOffset>2166197</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DB4C05">
        <w:rPr>
          <w:noProof/>
          <w:spacing w:val="-2"/>
          <w:szCs w:val="22"/>
          <w:u w:val="single"/>
        </w:rPr>
        <mc:AlternateContent>
          <mc:Choice Requires="wps">
            <w:drawing>
              <wp:anchor distT="0" distB="0" distL="114300" distR="114300" simplePos="0" relativeHeight="251660288" behindDoc="0" locked="1" layoutInCell="1" allowOverlap="1" wp14:anchorId="4AA0AFFE" wp14:editId="6D123267">
                <wp:simplePos x="0" y="0"/>
                <wp:positionH relativeFrom="column">
                  <wp:posOffset>-74930</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88A164" w14:textId="63A41AAA" w:rsidR="00DB4C05" w:rsidRPr="00DB4C05" w:rsidRDefault="00DB4C05">
                            <w:pPr>
                              <w:rPr>
                                <w:sz w:val="18"/>
                              </w:rPr>
                            </w:pPr>
                            <w:r>
                              <w:rPr>
                                <w:sz w:val="18"/>
                              </w:rPr>
                              <w:fldChar w:fldCharType="begin"/>
                            </w:r>
                            <w:r>
                              <w:rPr>
                                <w:sz w:val="18"/>
                              </w:rPr>
                              <w:instrText xml:space="preserve"> FILENAME  \* MERGEFORMAT </w:instrText>
                            </w:r>
                            <w:r>
                              <w:rPr>
                                <w:sz w:val="18"/>
                              </w:rPr>
                              <w:fldChar w:fldCharType="separate"/>
                            </w:r>
                            <w:r>
                              <w:rPr>
                                <w:noProof/>
                                <w:sz w:val="18"/>
                              </w:rPr>
                              <w:t>AG08390E01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A0AFFE" id="_x0000_t202" coordsize="21600,21600" o:spt="202" path="m,l,21600r21600,l21600,xe">
                <v:stroke joinstyle="miter"/>
                <v:path gradientshapeok="t" o:connecttype="rect"/>
              </v:shapetype>
              <v:shape id="Text Box 3" o:spid="_x0000_s1026" type="#_x0000_t202" style="position:absolute;left:0;text-align:left;margin-left:-5.9pt;margin-top:0;width:266.4pt;height:18pt;z-index:251660288;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" filled="f" stroked="f">
                <v:stroke joinstyle="round"/>
                <v:textbox>
                  <w:txbxContent>
                    <w:p w14:paraId="3788A164" w14:textId="63A41AAA" w:rsidR="00DB4C05" w:rsidRPr="00DB4C05" w:rsidRDefault="00DB4C05">
                      <w:pPr>
                        <w:rPr>
                          <w:sz w:val="18"/>
                        </w:rPr>
                      </w:pPr>
                      <w:r>
                        <w:rPr>
                          <w:sz w:val="18"/>
                        </w:rPr>
                        <w:fldChar w:fldCharType="begin"/>
                      </w:r>
                      <w:r>
                        <w:rPr>
                          <w:sz w:val="18"/>
                        </w:rPr>
                        <w:instrText xml:space="preserve"> FILENAME  \* MERGEFORMAT </w:instrText>
                      </w:r>
                      <w:r>
                        <w:rPr>
                          <w:sz w:val="18"/>
                        </w:rPr>
                        <w:fldChar w:fldCharType="separate"/>
                      </w:r>
                      <w:r>
                        <w:rPr>
                          <w:noProof/>
                          <w:sz w:val="18"/>
                        </w:rPr>
                        <w:t>AG08390E01</w:t>
                      </w:r>
                      <w:r>
                        <w:rPr>
                          <w:sz w:val="18"/>
                        </w:rPr>
                        <w:fldChar w:fldCharType="end"/>
                      </w:r>
                    </w:p>
                  </w:txbxContent>
                </v:textbox>
                <w10:wrap anchory="margin"/>
                <w10:anchorlock/>
              </v:shape>
            </w:pict>
          </mc:Fallback>
        </mc:AlternateContent>
      </w:r>
    </w:p>
    <w:sectPr w:rsidR="00A51BE9" w:rsidRPr="00A95CF7" w:rsidSect="00A95CF7">
      <w:headerReference w:type="default" r:id="rId11"/>
      <w:type w:val="oddPage"/>
      <w:pgSz w:w="12240" w:h="15840" w:code="1"/>
      <w:pgMar w:top="2160" w:right="1570" w:bottom="1296" w:left="1699" w:header="1296" w:footer="1296" w:gutter="0"/>
      <w:pgNumType w:fmt="numberInDash" w:chapSep="em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B7B7" w14:textId="77777777" w:rsidR="00484BDF" w:rsidRDefault="00484BDF">
      <w:r>
        <w:separator/>
      </w:r>
    </w:p>
  </w:endnote>
  <w:endnote w:type="continuationSeparator" w:id="0">
    <w:p w14:paraId="02D9DF60" w14:textId="77777777" w:rsidR="00484BDF" w:rsidRDefault="0048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525D" w14:textId="77777777" w:rsidR="00484BDF" w:rsidRDefault="00484BDF">
      <w:r>
        <w:separator/>
      </w:r>
    </w:p>
  </w:footnote>
  <w:footnote w:type="continuationSeparator" w:id="0">
    <w:p w14:paraId="1B5F4DD0" w14:textId="77777777" w:rsidR="00484BDF" w:rsidRDefault="0048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88765"/>
      <w:docPartObj>
        <w:docPartGallery w:val="Page Numbers (Top of Page)"/>
        <w:docPartUnique/>
      </w:docPartObj>
    </w:sdtPr>
    <w:sdtEndPr>
      <w:rPr>
        <w:noProof/>
      </w:rPr>
    </w:sdtEndPr>
    <w:sdtContent>
      <w:p w14:paraId="5295A29E" w14:textId="128966AE" w:rsidR="00A95CF7" w:rsidRDefault="00A95C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458A94" w14:textId="77777777" w:rsidR="00A95CF7" w:rsidRDefault="00A95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13E"/>
    <w:multiLevelType w:val="hybridMultilevel"/>
    <w:tmpl w:val="9C26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3D37"/>
    <w:multiLevelType w:val="hybridMultilevel"/>
    <w:tmpl w:val="295C346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7B54BD6"/>
    <w:multiLevelType w:val="hybridMultilevel"/>
    <w:tmpl w:val="079C5910"/>
    <w:lvl w:ilvl="0" w:tplc="707819EE">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E0B7DBD"/>
    <w:multiLevelType w:val="multilevel"/>
    <w:tmpl w:val="295C346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0E9B0533"/>
    <w:multiLevelType w:val="multilevel"/>
    <w:tmpl w:val="7348F466"/>
    <w:lvl w:ilvl="0">
      <w:start w:val="1"/>
      <w:numFmt w:val="decimal"/>
      <w:lvlText w:val="%1."/>
      <w:lvlJc w:val="left"/>
      <w:pPr>
        <w:tabs>
          <w:tab w:val="num" w:pos="1260"/>
        </w:tabs>
        <w:ind w:left="1260" w:hanging="1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184A9A"/>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5F29BC"/>
    <w:multiLevelType w:val="hybridMultilevel"/>
    <w:tmpl w:val="7348F466"/>
    <w:lvl w:ilvl="0" w:tplc="9C76F5EC">
      <w:start w:val="1"/>
      <w:numFmt w:val="decimal"/>
      <w:lvlText w:val="%1."/>
      <w:lvlJc w:val="left"/>
      <w:pPr>
        <w:tabs>
          <w:tab w:val="num" w:pos="1260"/>
        </w:tabs>
        <w:ind w:left="1260"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D005A"/>
    <w:multiLevelType w:val="hybridMultilevel"/>
    <w:tmpl w:val="3796E112"/>
    <w:lvl w:ilvl="0" w:tplc="A6860C7C">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00034"/>
    <w:multiLevelType w:val="hybridMultilevel"/>
    <w:tmpl w:val="0524B182"/>
    <w:lvl w:ilvl="0" w:tplc="06322860">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C7752"/>
    <w:multiLevelType w:val="hybridMultilevel"/>
    <w:tmpl w:val="978414E2"/>
    <w:lvl w:ilvl="0" w:tplc="9FD8AA08">
      <w:start w:val="498"/>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77B3"/>
    <w:multiLevelType w:val="multilevel"/>
    <w:tmpl w:val="F1D8981E"/>
    <w:lvl w:ilvl="0">
      <w:start w:val="1"/>
      <w:numFmt w:val="decimal"/>
      <w:lvlText w:val="%1."/>
      <w:lvlJc w:val="left"/>
      <w:pPr>
        <w:tabs>
          <w:tab w:val="num" w:pos="1800"/>
        </w:tabs>
        <w:ind w:left="180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30781D6E"/>
    <w:multiLevelType w:val="hybridMultilevel"/>
    <w:tmpl w:val="6B2256AE"/>
    <w:lvl w:ilvl="0" w:tplc="348082D8">
      <w:start w:val="1"/>
      <w:numFmt w:val="decimal"/>
      <w:lvlText w:val="%1."/>
      <w:lvlJc w:val="left"/>
      <w:pPr>
        <w:tabs>
          <w:tab w:val="num" w:pos="828"/>
        </w:tabs>
        <w:ind w:left="828" w:firstLine="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C7054C"/>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35846F4"/>
    <w:multiLevelType w:val="multilevel"/>
    <w:tmpl w:val="91F4E3D2"/>
    <w:lvl w:ilvl="0">
      <w:start w:val="498"/>
      <w:numFmt w:val="decimal"/>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E77CCC"/>
    <w:multiLevelType w:val="hybridMultilevel"/>
    <w:tmpl w:val="011E4B7E"/>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7414"/>
    <w:multiLevelType w:val="multilevel"/>
    <w:tmpl w:val="2D10282A"/>
    <w:lvl w:ilvl="0">
      <w:start w:val="1"/>
      <w:numFmt w:val="decimal"/>
      <w:lvlText w:val="%1."/>
      <w:lvlJc w:val="left"/>
      <w:pPr>
        <w:tabs>
          <w:tab w:val="num" w:pos="1440"/>
        </w:tabs>
        <w:ind w:left="180" w:firstLine="12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80427C"/>
    <w:multiLevelType w:val="multilevel"/>
    <w:tmpl w:val="70DABCF8"/>
    <w:lvl w:ilvl="0">
      <w:start w:val="1"/>
      <w:numFmt w:val="decimal"/>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436A4"/>
    <w:multiLevelType w:val="hybridMultilevel"/>
    <w:tmpl w:val="D9DC4E1E"/>
    <w:lvl w:ilvl="0" w:tplc="2820DE0E">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30F65"/>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519E6AD1"/>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F01C76"/>
    <w:multiLevelType w:val="multilevel"/>
    <w:tmpl w:val="57C80E0A"/>
    <w:lvl w:ilvl="0">
      <w:start w:val="1"/>
      <w:numFmt w:val="decimal"/>
      <w:lvlText w:val="%1."/>
      <w:lvlJc w:val="left"/>
      <w:pPr>
        <w:tabs>
          <w:tab w:val="num" w:pos="684"/>
        </w:tabs>
        <w:ind w:left="684" w:firstLine="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4E716A"/>
    <w:multiLevelType w:val="hybridMultilevel"/>
    <w:tmpl w:val="69485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A3784B"/>
    <w:multiLevelType w:val="hybridMultilevel"/>
    <w:tmpl w:val="8790209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585465AB"/>
    <w:multiLevelType w:val="multilevel"/>
    <w:tmpl w:val="58869F4C"/>
    <w:lvl w:ilvl="0">
      <w:start w:val="1"/>
      <w:numFmt w:val="decimal"/>
      <w:lvlText w:val="%1."/>
      <w:lvlJc w:val="left"/>
      <w:pPr>
        <w:tabs>
          <w:tab w:val="num" w:pos="180"/>
        </w:tabs>
        <w:ind w:left="180" w:firstLine="12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25F03"/>
    <w:multiLevelType w:val="hybridMultilevel"/>
    <w:tmpl w:val="8790209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C724BC5"/>
    <w:multiLevelType w:val="hybridMultilevel"/>
    <w:tmpl w:val="8790209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DFE16FD"/>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27" w15:restartNumberingAfterBreak="0">
    <w:nsid w:val="64334C97"/>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4F13778"/>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C1E7D"/>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30" w15:restartNumberingAfterBreak="0">
    <w:nsid w:val="6A7F4B2E"/>
    <w:multiLevelType w:val="multilevel"/>
    <w:tmpl w:val="D2E4F718"/>
    <w:lvl w:ilvl="0">
      <w:start w:val="1"/>
      <w:numFmt w:val="decimal"/>
      <w:lvlText w:val="%1."/>
      <w:lvlJc w:val="left"/>
      <w:pPr>
        <w:tabs>
          <w:tab w:val="num" w:pos="1440"/>
        </w:tabs>
        <w:ind w:left="144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EE61D7"/>
    <w:multiLevelType w:val="hybridMultilevel"/>
    <w:tmpl w:val="89528DBA"/>
    <w:lvl w:ilvl="0" w:tplc="F1FE636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AC6067"/>
    <w:multiLevelType w:val="hybridMultilevel"/>
    <w:tmpl w:val="DF2074EA"/>
    <w:lvl w:ilvl="0" w:tplc="FB6E6760">
      <w:start w:val="49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E464440"/>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72904D4A"/>
    <w:multiLevelType w:val="hybridMultilevel"/>
    <w:tmpl w:val="09EC2064"/>
    <w:lvl w:ilvl="0" w:tplc="EF7E425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D92C76"/>
    <w:multiLevelType w:val="multilevel"/>
    <w:tmpl w:val="6B2256AE"/>
    <w:lvl w:ilvl="0">
      <w:start w:val="1"/>
      <w:numFmt w:val="decimal"/>
      <w:lvlText w:val="%1."/>
      <w:lvlJc w:val="left"/>
      <w:pPr>
        <w:tabs>
          <w:tab w:val="num" w:pos="828"/>
        </w:tabs>
        <w:ind w:left="828" w:firstLine="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636C8C"/>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8460B1"/>
    <w:multiLevelType w:val="hybridMultilevel"/>
    <w:tmpl w:val="57C80E0A"/>
    <w:lvl w:ilvl="0" w:tplc="4466697A">
      <w:start w:val="1"/>
      <w:numFmt w:val="decimal"/>
      <w:lvlText w:val="%1."/>
      <w:lvlJc w:val="left"/>
      <w:pPr>
        <w:tabs>
          <w:tab w:val="num" w:pos="684"/>
        </w:tabs>
        <w:ind w:left="684" w:firstLine="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7D4353"/>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473E98"/>
    <w:multiLevelType w:val="hybridMultilevel"/>
    <w:tmpl w:val="0DB0937A"/>
    <w:lvl w:ilvl="0" w:tplc="7B725E1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ED21FFC"/>
    <w:multiLevelType w:val="hybridMultilevel"/>
    <w:tmpl w:val="9050D9AC"/>
    <w:lvl w:ilvl="0" w:tplc="707819E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C3CC5"/>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42" w15:restartNumberingAfterBreak="0">
    <w:nsid w:val="7FE078DF"/>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1"/>
  </w:num>
  <w:num w:numId="2">
    <w:abstractNumId w:val="39"/>
  </w:num>
  <w:num w:numId="3">
    <w:abstractNumId w:val="34"/>
  </w:num>
  <w:num w:numId="4">
    <w:abstractNumId w:val="26"/>
  </w:num>
  <w:num w:numId="5">
    <w:abstractNumId w:val="29"/>
  </w:num>
  <w:num w:numId="6">
    <w:abstractNumId w:val="17"/>
  </w:num>
  <w:num w:numId="7">
    <w:abstractNumId w:val="27"/>
  </w:num>
  <w:num w:numId="8">
    <w:abstractNumId w:val="12"/>
  </w:num>
  <w:num w:numId="9">
    <w:abstractNumId w:val="36"/>
  </w:num>
  <w:num w:numId="10">
    <w:abstractNumId w:val="22"/>
  </w:num>
  <w:num w:numId="11">
    <w:abstractNumId w:val="18"/>
  </w:num>
  <w:num w:numId="12">
    <w:abstractNumId w:val="33"/>
  </w:num>
  <w:num w:numId="13">
    <w:abstractNumId w:val="24"/>
  </w:num>
  <w:num w:numId="14">
    <w:abstractNumId w:val="25"/>
  </w:num>
  <w:num w:numId="15">
    <w:abstractNumId w:val="21"/>
  </w:num>
  <w:num w:numId="16">
    <w:abstractNumId w:val="14"/>
  </w:num>
  <w:num w:numId="17">
    <w:abstractNumId w:val="0"/>
  </w:num>
  <w:num w:numId="18">
    <w:abstractNumId w:val="1"/>
  </w:num>
  <w:num w:numId="19">
    <w:abstractNumId w:val="3"/>
  </w:num>
  <w:num w:numId="20">
    <w:abstractNumId w:val="6"/>
  </w:num>
  <w:num w:numId="21">
    <w:abstractNumId w:val="4"/>
  </w:num>
  <w:num w:numId="22">
    <w:abstractNumId w:val="11"/>
  </w:num>
  <w:num w:numId="23">
    <w:abstractNumId w:val="35"/>
  </w:num>
  <w:num w:numId="24">
    <w:abstractNumId w:val="37"/>
  </w:num>
  <w:num w:numId="25">
    <w:abstractNumId w:val="20"/>
  </w:num>
  <w:num w:numId="26">
    <w:abstractNumId w:val="5"/>
  </w:num>
  <w:num w:numId="27">
    <w:abstractNumId w:val="23"/>
  </w:num>
  <w:num w:numId="28">
    <w:abstractNumId w:val="15"/>
  </w:num>
  <w:num w:numId="29">
    <w:abstractNumId w:val="3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2"/>
  </w:num>
  <w:num w:numId="35">
    <w:abstractNumId w:val="32"/>
  </w:num>
  <w:num w:numId="36">
    <w:abstractNumId w:val="40"/>
  </w:num>
  <w:num w:numId="37">
    <w:abstractNumId w:val="2"/>
  </w:num>
  <w:num w:numId="38">
    <w:abstractNumId w:val="8"/>
  </w:num>
  <w:num w:numId="39">
    <w:abstractNumId w:val="7"/>
  </w:num>
  <w:num w:numId="40">
    <w:abstractNumId w:val="28"/>
  </w:num>
  <w:num w:numId="41">
    <w:abstractNumId w:val="9"/>
  </w:num>
  <w:num w:numId="42">
    <w:abstractNumId w:val="19"/>
  </w:num>
  <w:num w:numId="43">
    <w:abstractNumId w:val="13"/>
  </w:num>
  <w:num w:numId="44">
    <w:abstractNumId w:val="10"/>
  </w:num>
  <w:num w:numId="45">
    <w:abstractNumId w:val="16"/>
  </w:num>
  <w:num w:numId="4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19418A-11EA-43CC-ABA0-2EC110DF4263}"/>
    <w:docVar w:name="dgnword-eventsink" w:val="2046193242592"/>
  </w:docVars>
  <w:rsids>
    <w:rsidRoot w:val="001D344A"/>
    <w:rsid w:val="00002A93"/>
    <w:rsid w:val="000057B9"/>
    <w:rsid w:val="00010744"/>
    <w:rsid w:val="00014210"/>
    <w:rsid w:val="0001713C"/>
    <w:rsid w:val="000263A1"/>
    <w:rsid w:val="00047072"/>
    <w:rsid w:val="00053374"/>
    <w:rsid w:val="000557E4"/>
    <w:rsid w:val="000562B6"/>
    <w:rsid w:val="00067961"/>
    <w:rsid w:val="00067EDD"/>
    <w:rsid w:val="00073F78"/>
    <w:rsid w:val="00087F30"/>
    <w:rsid w:val="00095BC9"/>
    <w:rsid w:val="00097D4B"/>
    <w:rsid w:val="000A4B7A"/>
    <w:rsid w:val="000B4368"/>
    <w:rsid w:val="000B7F25"/>
    <w:rsid w:val="000C70DB"/>
    <w:rsid w:val="000E2EC1"/>
    <w:rsid w:val="000F0BCA"/>
    <w:rsid w:val="000F0D26"/>
    <w:rsid w:val="000F50AD"/>
    <w:rsid w:val="00116A65"/>
    <w:rsid w:val="00124895"/>
    <w:rsid w:val="00133BD0"/>
    <w:rsid w:val="001352C8"/>
    <w:rsid w:val="00145A80"/>
    <w:rsid w:val="001472C8"/>
    <w:rsid w:val="00147567"/>
    <w:rsid w:val="00152D16"/>
    <w:rsid w:val="00153606"/>
    <w:rsid w:val="0016229A"/>
    <w:rsid w:val="00162CE7"/>
    <w:rsid w:val="0017115F"/>
    <w:rsid w:val="00186C60"/>
    <w:rsid w:val="00186FD4"/>
    <w:rsid w:val="0019706D"/>
    <w:rsid w:val="001A11A6"/>
    <w:rsid w:val="001A5EF7"/>
    <w:rsid w:val="001C545D"/>
    <w:rsid w:val="001D344A"/>
    <w:rsid w:val="001D4CC1"/>
    <w:rsid w:val="001D6D92"/>
    <w:rsid w:val="001D72C2"/>
    <w:rsid w:val="001E18DF"/>
    <w:rsid w:val="001F07DC"/>
    <w:rsid w:val="001F1A66"/>
    <w:rsid w:val="001F6387"/>
    <w:rsid w:val="002003C9"/>
    <w:rsid w:val="0020041D"/>
    <w:rsid w:val="00206051"/>
    <w:rsid w:val="00215D1E"/>
    <w:rsid w:val="00216D47"/>
    <w:rsid w:val="00222071"/>
    <w:rsid w:val="00222771"/>
    <w:rsid w:val="00236123"/>
    <w:rsid w:val="0023773F"/>
    <w:rsid w:val="002446B9"/>
    <w:rsid w:val="0025278B"/>
    <w:rsid w:val="0026585C"/>
    <w:rsid w:val="00272C72"/>
    <w:rsid w:val="00283A48"/>
    <w:rsid w:val="002848E1"/>
    <w:rsid w:val="00294A9C"/>
    <w:rsid w:val="002A0107"/>
    <w:rsid w:val="002A45FE"/>
    <w:rsid w:val="002C3427"/>
    <w:rsid w:val="002C4709"/>
    <w:rsid w:val="002F2C92"/>
    <w:rsid w:val="00300EF1"/>
    <w:rsid w:val="00306284"/>
    <w:rsid w:val="00306DBF"/>
    <w:rsid w:val="003072D6"/>
    <w:rsid w:val="00320841"/>
    <w:rsid w:val="00322CB1"/>
    <w:rsid w:val="0032387B"/>
    <w:rsid w:val="003241F3"/>
    <w:rsid w:val="00337709"/>
    <w:rsid w:val="00341033"/>
    <w:rsid w:val="00374C77"/>
    <w:rsid w:val="00376000"/>
    <w:rsid w:val="00380C00"/>
    <w:rsid w:val="00383660"/>
    <w:rsid w:val="00391A8F"/>
    <w:rsid w:val="003B000F"/>
    <w:rsid w:val="003B1FDE"/>
    <w:rsid w:val="003B33E1"/>
    <w:rsid w:val="003B4059"/>
    <w:rsid w:val="003B4A0F"/>
    <w:rsid w:val="003B62C7"/>
    <w:rsid w:val="003D206E"/>
    <w:rsid w:val="003D30B7"/>
    <w:rsid w:val="003D56AE"/>
    <w:rsid w:val="003E2AB7"/>
    <w:rsid w:val="003E4B2F"/>
    <w:rsid w:val="003F03FA"/>
    <w:rsid w:val="003F3B9A"/>
    <w:rsid w:val="004155AE"/>
    <w:rsid w:val="00421CBD"/>
    <w:rsid w:val="00424188"/>
    <w:rsid w:val="004408D6"/>
    <w:rsid w:val="0044159C"/>
    <w:rsid w:val="00444197"/>
    <w:rsid w:val="00452108"/>
    <w:rsid w:val="00461451"/>
    <w:rsid w:val="004742D2"/>
    <w:rsid w:val="00480569"/>
    <w:rsid w:val="00484BDF"/>
    <w:rsid w:val="0049231D"/>
    <w:rsid w:val="0049326E"/>
    <w:rsid w:val="00496A26"/>
    <w:rsid w:val="00497CBE"/>
    <w:rsid w:val="004A03E2"/>
    <w:rsid w:val="004A3074"/>
    <w:rsid w:val="004B424C"/>
    <w:rsid w:val="004B5E65"/>
    <w:rsid w:val="004B6E3F"/>
    <w:rsid w:val="004C2773"/>
    <w:rsid w:val="004C3139"/>
    <w:rsid w:val="004C5788"/>
    <w:rsid w:val="004C6DF0"/>
    <w:rsid w:val="004D1846"/>
    <w:rsid w:val="004D45F0"/>
    <w:rsid w:val="004E3295"/>
    <w:rsid w:val="004E44BB"/>
    <w:rsid w:val="004E4B62"/>
    <w:rsid w:val="004F250C"/>
    <w:rsid w:val="004F4F0C"/>
    <w:rsid w:val="005053AC"/>
    <w:rsid w:val="00507057"/>
    <w:rsid w:val="005101DC"/>
    <w:rsid w:val="005165BE"/>
    <w:rsid w:val="005327B2"/>
    <w:rsid w:val="005423B2"/>
    <w:rsid w:val="00544C27"/>
    <w:rsid w:val="005505F5"/>
    <w:rsid w:val="00561349"/>
    <w:rsid w:val="0057759B"/>
    <w:rsid w:val="0058109F"/>
    <w:rsid w:val="00582643"/>
    <w:rsid w:val="00593AA3"/>
    <w:rsid w:val="0059721C"/>
    <w:rsid w:val="005A02EB"/>
    <w:rsid w:val="005A307F"/>
    <w:rsid w:val="005A3B23"/>
    <w:rsid w:val="005A583D"/>
    <w:rsid w:val="005C505B"/>
    <w:rsid w:val="005C7097"/>
    <w:rsid w:val="005D1757"/>
    <w:rsid w:val="005D1F72"/>
    <w:rsid w:val="005E0CFE"/>
    <w:rsid w:val="005F1633"/>
    <w:rsid w:val="005F4489"/>
    <w:rsid w:val="00602775"/>
    <w:rsid w:val="00603700"/>
    <w:rsid w:val="00605E64"/>
    <w:rsid w:val="0061052D"/>
    <w:rsid w:val="00617121"/>
    <w:rsid w:val="00621064"/>
    <w:rsid w:val="00624F4F"/>
    <w:rsid w:val="00627343"/>
    <w:rsid w:val="006322AE"/>
    <w:rsid w:val="00633999"/>
    <w:rsid w:val="00644A46"/>
    <w:rsid w:val="0065169F"/>
    <w:rsid w:val="0065301F"/>
    <w:rsid w:val="00655545"/>
    <w:rsid w:val="00655722"/>
    <w:rsid w:val="00662CFB"/>
    <w:rsid w:val="00673D5E"/>
    <w:rsid w:val="006751F2"/>
    <w:rsid w:val="00675B48"/>
    <w:rsid w:val="006768C9"/>
    <w:rsid w:val="006832F6"/>
    <w:rsid w:val="00686E3D"/>
    <w:rsid w:val="0068789F"/>
    <w:rsid w:val="006957E8"/>
    <w:rsid w:val="00697CC6"/>
    <w:rsid w:val="006A3FC4"/>
    <w:rsid w:val="006D11D5"/>
    <w:rsid w:val="006D2624"/>
    <w:rsid w:val="006E3924"/>
    <w:rsid w:val="006E643B"/>
    <w:rsid w:val="006F47E2"/>
    <w:rsid w:val="00727AEE"/>
    <w:rsid w:val="0074080B"/>
    <w:rsid w:val="00742D2C"/>
    <w:rsid w:val="00743E17"/>
    <w:rsid w:val="00753047"/>
    <w:rsid w:val="00761E73"/>
    <w:rsid w:val="00765317"/>
    <w:rsid w:val="00766BFF"/>
    <w:rsid w:val="00771C0D"/>
    <w:rsid w:val="00775738"/>
    <w:rsid w:val="007768A0"/>
    <w:rsid w:val="00776F0E"/>
    <w:rsid w:val="00781D96"/>
    <w:rsid w:val="00786E5B"/>
    <w:rsid w:val="007915BD"/>
    <w:rsid w:val="007A6B5B"/>
    <w:rsid w:val="007A7F36"/>
    <w:rsid w:val="007C3125"/>
    <w:rsid w:val="007C32D2"/>
    <w:rsid w:val="007D5B75"/>
    <w:rsid w:val="007E007B"/>
    <w:rsid w:val="007E362F"/>
    <w:rsid w:val="007E431A"/>
    <w:rsid w:val="007E5DF9"/>
    <w:rsid w:val="00800127"/>
    <w:rsid w:val="0080447E"/>
    <w:rsid w:val="008103B1"/>
    <w:rsid w:val="00824A34"/>
    <w:rsid w:val="00826582"/>
    <w:rsid w:val="00830A99"/>
    <w:rsid w:val="008369FB"/>
    <w:rsid w:val="00837936"/>
    <w:rsid w:val="008506DF"/>
    <w:rsid w:val="00877C67"/>
    <w:rsid w:val="008A4520"/>
    <w:rsid w:val="008A4F85"/>
    <w:rsid w:val="008A6A2B"/>
    <w:rsid w:val="008B36B5"/>
    <w:rsid w:val="008B6A8D"/>
    <w:rsid w:val="008B6E76"/>
    <w:rsid w:val="008C17A5"/>
    <w:rsid w:val="008C2A8B"/>
    <w:rsid w:val="008D0390"/>
    <w:rsid w:val="008D1406"/>
    <w:rsid w:val="008D3107"/>
    <w:rsid w:val="008D4284"/>
    <w:rsid w:val="008F7DBF"/>
    <w:rsid w:val="009346C8"/>
    <w:rsid w:val="00937302"/>
    <w:rsid w:val="00940938"/>
    <w:rsid w:val="009437A0"/>
    <w:rsid w:val="009503A5"/>
    <w:rsid w:val="00955E8A"/>
    <w:rsid w:val="009778AA"/>
    <w:rsid w:val="0098381B"/>
    <w:rsid w:val="009864A1"/>
    <w:rsid w:val="009915F1"/>
    <w:rsid w:val="00992775"/>
    <w:rsid w:val="00997A7E"/>
    <w:rsid w:val="009A546D"/>
    <w:rsid w:val="009B273E"/>
    <w:rsid w:val="009C76FB"/>
    <w:rsid w:val="009D26A9"/>
    <w:rsid w:val="009D7801"/>
    <w:rsid w:val="009E463E"/>
    <w:rsid w:val="009E5B4F"/>
    <w:rsid w:val="009F03F1"/>
    <w:rsid w:val="009F2E27"/>
    <w:rsid w:val="009F357E"/>
    <w:rsid w:val="00A0341E"/>
    <w:rsid w:val="00A16432"/>
    <w:rsid w:val="00A2259D"/>
    <w:rsid w:val="00A33D4A"/>
    <w:rsid w:val="00A37952"/>
    <w:rsid w:val="00A4208C"/>
    <w:rsid w:val="00A428B9"/>
    <w:rsid w:val="00A51BE9"/>
    <w:rsid w:val="00A6713E"/>
    <w:rsid w:val="00A826CF"/>
    <w:rsid w:val="00A82DE4"/>
    <w:rsid w:val="00A91854"/>
    <w:rsid w:val="00A94705"/>
    <w:rsid w:val="00A95CF7"/>
    <w:rsid w:val="00AA139A"/>
    <w:rsid w:val="00AB1726"/>
    <w:rsid w:val="00AC1BF1"/>
    <w:rsid w:val="00AC3988"/>
    <w:rsid w:val="00AC493B"/>
    <w:rsid w:val="00AD22EA"/>
    <w:rsid w:val="00AD396A"/>
    <w:rsid w:val="00AE18B9"/>
    <w:rsid w:val="00B03496"/>
    <w:rsid w:val="00B10410"/>
    <w:rsid w:val="00B224B6"/>
    <w:rsid w:val="00B229E0"/>
    <w:rsid w:val="00B23B9E"/>
    <w:rsid w:val="00B24A34"/>
    <w:rsid w:val="00B30965"/>
    <w:rsid w:val="00B50F3A"/>
    <w:rsid w:val="00B51A90"/>
    <w:rsid w:val="00B52AB6"/>
    <w:rsid w:val="00B539DC"/>
    <w:rsid w:val="00B53E83"/>
    <w:rsid w:val="00B5700C"/>
    <w:rsid w:val="00B62CAF"/>
    <w:rsid w:val="00B64943"/>
    <w:rsid w:val="00B81867"/>
    <w:rsid w:val="00B825AC"/>
    <w:rsid w:val="00B8670E"/>
    <w:rsid w:val="00B90C9E"/>
    <w:rsid w:val="00B934AB"/>
    <w:rsid w:val="00BA5AB1"/>
    <w:rsid w:val="00BC0077"/>
    <w:rsid w:val="00BC02B3"/>
    <w:rsid w:val="00BD18A4"/>
    <w:rsid w:val="00BD5276"/>
    <w:rsid w:val="00BD6A5A"/>
    <w:rsid w:val="00BE0EE5"/>
    <w:rsid w:val="00BE7C7A"/>
    <w:rsid w:val="00BF3503"/>
    <w:rsid w:val="00C045BA"/>
    <w:rsid w:val="00C07F83"/>
    <w:rsid w:val="00C1184D"/>
    <w:rsid w:val="00C12604"/>
    <w:rsid w:val="00C14539"/>
    <w:rsid w:val="00C174DD"/>
    <w:rsid w:val="00C23284"/>
    <w:rsid w:val="00C31F7C"/>
    <w:rsid w:val="00C33164"/>
    <w:rsid w:val="00C33F9C"/>
    <w:rsid w:val="00C4478A"/>
    <w:rsid w:val="00C53A79"/>
    <w:rsid w:val="00C5745A"/>
    <w:rsid w:val="00C6418B"/>
    <w:rsid w:val="00C737F7"/>
    <w:rsid w:val="00C777C7"/>
    <w:rsid w:val="00C82343"/>
    <w:rsid w:val="00C82602"/>
    <w:rsid w:val="00CA36C7"/>
    <w:rsid w:val="00CC0EC3"/>
    <w:rsid w:val="00CC3300"/>
    <w:rsid w:val="00CC7AB7"/>
    <w:rsid w:val="00CD0B89"/>
    <w:rsid w:val="00CD1175"/>
    <w:rsid w:val="00CD4F89"/>
    <w:rsid w:val="00CF3F8D"/>
    <w:rsid w:val="00D07DA5"/>
    <w:rsid w:val="00D20647"/>
    <w:rsid w:val="00D20A03"/>
    <w:rsid w:val="00D21DEC"/>
    <w:rsid w:val="00D22C26"/>
    <w:rsid w:val="00D22E90"/>
    <w:rsid w:val="00D25D26"/>
    <w:rsid w:val="00D305B0"/>
    <w:rsid w:val="00D42A1E"/>
    <w:rsid w:val="00D466FB"/>
    <w:rsid w:val="00D649AF"/>
    <w:rsid w:val="00D7667F"/>
    <w:rsid w:val="00D804B6"/>
    <w:rsid w:val="00D81775"/>
    <w:rsid w:val="00D861D7"/>
    <w:rsid w:val="00DA5FF5"/>
    <w:rsid w:val="00DB21F6"/>
    <w:rsid w:val="00DB3753"/>
    <w:rsid w:val="00DB4C05"/>
    <w:rsid w:val="00DC2D9E"/>
    <w:rsid w:val="00DC5C15"/>
    <w:rsid w:val="00DC7F91"/>
    <w:rsid w:val="00DD4B6C"/>
    <w:rsid w:val="00DD74CF"/>
    <w:rsid w:val="00DF3422"/>
    <w:rsid w:val="00DF383A"/>
    <w:rsid w:val="00DF3CCA"/>
    <w:rsid w:val="00DF41BF"/>
    <w:rsid w:val="00DF77E1"/>
    <w:rsid w:val="00E00CC8"/>
    <w:rsid w:val="00E018EA"/>
    <w:rsid w:val="00E14DF5"/>
    <w:rsid w:val="00E170E3"/>
    <w:rsid w:val="00E20C7B"/>
    <w:rsid w:val="00E24C29"/>
    <w:rsid w:val="00E3246B"/>
    <w:rsid w:val="00E33A3B"/>
    <w:rsid w:val="00E4028F"/>
    <w:rsid w:val="00E4109B"/>
    <w:rsid w:val="00E479CB"/>
    <w:rsid w:val="00E546D5"/>
    <w:rsid w:val="00E557BF"/>
    <w:rsid w:val="00E74612"/>
    <w:rsid w:val="00E94388"/>
    <w:rsid w:val="00E979C6"/>
    <w:rsid w:val="00EB4B2D"/>
    <w:rsid w:val="00EB7B1D"/>
    <w:rsid w:val="00EB7D00"/>
    <w:rsid w:val="00EC3C7F"/>
    <w:rsid w:val="00EC582B"/>
    <w:rsid w:val="00ED4046"/>
    <w:rsid w:val="00ED659E"/>
    <w:rsid w:val="00EE0C2C"/>
    <w:rsid w:val="00EE508E"/>
    <w:rsid w:val="00EF31F9"/>
    <w:rsid w:val="00F03736"/>
    <w:rsid w:val="00F06218"/>
    <w:rsid w:val="00F26299"/>
    <w:rsid w:val="00F2720D"/>
    <w:rsid w:val="00F65964"/>
    <w:rsid w:val="00F7373C"/>
    <w:rsid w:val="00F820AC"/>
    <w:rsid w:val="00F87EBF"/>
    <w:rsid w:val="00F94A96"/>
    <w:rsid w:val="00F96F53"/>
    <w:rsid w:val="00F97285"/>
    <w:rsid w:val="00FA111F"/>
    <w:rsid w:val="00FA2DD5"/>
    <w:rsid w:val="00FA4C69"/>
    <w:rsid w:val="00FA71C0"/>
    <w:rsid w:val="00FB6E98"/>
    <w:rsid w:val="00FC60C1"/>
    <w:rsid w:val="00FC7CCC"/>
    <w:rsid w:val="00FD1E59"/>
    <w:rsid w:val="00FE1169"/>
    <w:rsid w:val="00FE28D8"/>
    <w:rsid w:val="00FE7342"/>
    <w:rsid w:val="00FF0414"/>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969C89"/>
  <w15:docId w15:val="{A18442C7-7CC1-4B57-9874-AF33C204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DF"/>
    <w:rPr>
      <w:sz w:val="22"/>
    </w:rPr>
  </w:style>
  <w:style w:type="paragraph" w:styleId="Heading1">
    <w:name w:val="heading 1"/>
    <w:aliases w:val="Heading 1 Char Char,Heading 1 Char1,Heading 1 Char1 Car"/>
    <w:basedOn w:val="Normal"/>
    <w:next w:val="Normal"/>
    <w:link w:val="Heading1Char"/>
    <w:uiPriority w:val="99"/>
    <w:qFormat/>
    <w:rsid w:val="00A95CF7"/>
    <w:pPr>
      <w:jc w:val="center"/>
      <w:outlineLvl w:val="0"/>
    </w:pPr>
    <w:rPr>
      <w:color w:val="000000"/>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1D344A"/>
    <w:pPr>
      <w:tabs>
        <w:tab w:val="left" w:pos="720"/>
        <w:tab w:val="left" w:pos="1440"/>
        <w:tab w:val="left" w:pos="2160"/>
        <w:tab w:val="left" w:pos="2880"/>
        <w:tab w:val="left" w:pos="7200"/>
        <w:tab w:val="left" w:pos="7920"/>
        <w:tab w:val="left" w:pos="8640"/>
      </w:tabs>
      <w:jc w:val="center"/>
    </w:pPr>
  </w:style>
  <w:style w:type="paragraph" w:styleId="Header">
    <w:name w:val="header"/>
    <w:basedOn w:val="Normal"/>
    <w:link w:val="HeaderChar"/>
    <w:uiPriority w:val="99"/>
    <w:rsid w:val="001D344A"/>
    <w:pPr>
      <w:tabs>
        <w:tab w:val="center" w:pos="4320"/>
        <w:tab w:val="right" w:pos="8640"/>
      </w:tabs>
    </w:pPr>
  </w:style>
  <w:style w:type="paragraph" w:styleId="Footer">
    <w:name w:val="footer"/>
    <w:basedOn w:val="Normal"/>
    <w:rsid w:val="001D344A"/>
    <w:pPr>
      <w:tabs>
        <w:tab w:val="center" w:pos="4320"/>
        <w:tab w:val="right" w:pos="8640"/>
      </w:tabs>
    </w:pPr>
  </w:style>
  <w:style w:type="character" w:styleId="PageNumber">
    <w:name w:val="page number"/>
    <w:basedOn w:val="DefaultParagraphFont"/>
    <w:rsid w:val="001D344A"/>
  </w:style>
  <w:style w:type="paragraph" w:customStyle="1" w:styleId="Bodytext1">
    <w:name w:val="Body text 1"/>
    <w:basedOn w:val="Normal"/>
    <w:rsid w:val="001D344A"/>
    <w:pPr>
      <w:spacing w:after="120"/>
      <w:ind w:firstLine="720"/>
      <w:jc w:val="both"/>
    </w:pPr>
    <w:rPr>
      <w:lang w:val="pt-PT"/>
    </w:rPr>
  </w:style>
  <w:style w:type="paragraph" w:customStyle="1" w:styleId="CPTitle">
    <w:name w:val="CP Title"/>
    <w:basedOn w:val="Normal"/>
    <w:rsid w:val="001D344A"/>
    <w:pPr>
      <w:tabs>
        <w:tab w:val="left" w:pos="720"/>
        <w:tab w:val="left" w:pos="1440"/>
        <w:tab w:val="left" w:pos="2160"/>
        <w:tab w:val="left" w:pos="2880"/>
        <w:tab w:val="left" w:pos="7200"/>
        <w:tab w:val="left" w:pos="7920"/>
        <w:tab w:val="left" w:pos="8640"/>
      </w:tabs>
      <w:jc w:val="center"/>
    </w:pPr>
    <w:rPr>
      <w:lang w:val="pt-PT"/>
    </w:rPr>
  </w:style>
  <w:style w:type="paragraph" w:styleId="NormalWeb">
    <w:name w:val="Normal (Web)"/>
    <w:basedOn w:val="Normal"/>
    <w:rsid w:val="001D344A"/>
    <w:pPr>
      <w:spacing w:before="100" w:beforeAutospacing="1" w:after="100" w:afterAutospacing="1"/>
    </w:pPr>
    <w:rPr>
      <w:sz w:val="24"/>
      <w:szCs w:val="24"/>
    </w:rPr>
  </w:style>
  <w:style w:type="paragraph" w:styleId="BodyText">
    <w:name w:val="Body Text"/>
    <w:basedOn w:val="Normal"/>
    <w:link w:val="BodyTextChar"/>
    <w:rsid w:val="001D344A"/>
    <w:pPr>
      <w:spacing w:after="120"/>
      <w:jc w:val="both"/>
    </w:pPr>
    <w:rPr>
      <w:lang w:val="pt-PT"/>
    </w:rPr>
  </w:style>
  <w:style w:type="character" w:customStyle="1" w:styleId="BodyTextChar">
    <w:name w:val="Body Text Char"/>
    <w:link w:val="BodyText"/>
    <w:semiHidden/>
    <w:locked/>
    <w:rsid w:val="001D344A"/>
    <w:rPr>
      <w:sz w:val="22"/>
      <w:lang w:val="pt-PT" w:eastAsia="en-US" w:bidi="ar-SA"/>
    </w:rPr>
  </w:style>
  <w:style w:type="paragraph" w:customStyle="1" w:styleId="Heading">
    <w:name w:val="Heading"/>
    <w:basedOn w:val="Normal"/>
    <w:rsid w:val="00421CBD"/>
    <w:pPr>
      <w:tabs>
        <w:tab w:val="center" w:pos="2160"/>
        <w:tab w:val="left" w:pos="7200"/>
      </w:tabs>
      <w:snapToGrid w:val="0"/>
    </w:pPr>
    <w:rPr>
      <w:szCs w:val="22"/>
    </w:rPr>
  </w:style>
  <w:style w:type="paragraph" w:styleId="BalloonText">
    <w:name w:val="Balloon Text"/>
    <w:basedOn w:val="Normal"/>
    <w:link w:val="BalloonTextChar"/>
    <w:rsid w:val="00215D1E"/>
    <w:rPr>
      <w:rFonts w:ascii="Tahoma" w:hAnsi="Tahoma" w:cs="Tahoma"/>
      <w:sz w:val="16"/>
      <w:szCs w:val="16"/>
    </w:rPr>
  </w:style>
  <w:style w:type="character" w:customStyle="1" w:styleId="BalloonTextChar">
    <w:name w:val="Balloon Text Char"/>
    <w:link w:val="BalloonText"/>
    <w:rsid w:val="00215D1E"/>
    <w:rPr>
      <w:rFonts w:ascii="Tahoma" w:hAnsi="Tahoma" w:cs="Tahoma"/>
      <w:sz w:val="16"/>
      <w:szCs w:val="16"/>
    </w:rPr>
  </w:style>
  <w:style w:type="paragraph" w:styleId="ListParagraph">
    <w:name w:val="List Paragraph"/>
    <w:basedOn w:val="Normal"/>
    <w:link w:val="ListParagraphChar"/>
    <w:uiPriority w:val="34"/>
    <w:qFormat/>
    <w:rsid w:val="002A45FE"/>
    <w:pPr>
      <w:ind w:left="720"/>
    </w:pPr>
    <w:rPr>
      <w:rFonts w:ascii="Calibri" w:eastAsia="Calibri" w:hAnsi="Calibri"/>
      <w:szCs w:val="22"/>
    </w:rPr>
  </w:style>
  <w:style w:type="paragraph" w:styleId="FootnoteText">
    <w:name w:val="footnote text"/>
    <w:basedOn w:val="Normal"/>
    <w:link w:val="FootnoteTextChar"/>
    <w:rsid w:val="00D07DA5"/>
    <w:rPr>
      <w:sz w:val="20"/>
    </w:rPr>
  </w:style>
  <w:style w:type="character" w:customStyle="1" w:styleId="FootnoteTextChar">
    <w:name w:val="Footnote Text Char"/>
    <w:link w:val="FootnoteText"/>
    <w:rsid w:val="00D07DA5"/>
    <w:rPr>
      <w:lang w:val="en-US" w:eastAsia="en-US"/>
    </w:rPr>
  </w:style>
  <w:style w:type="character" w:styleId="FootnoteReference">
    <w:name w:val="footnote reference"/>
    <w:rsid w:val="00D07DA5"/>
    <w:rPr>
      <w:vertAlign w:val="superscript"/>
    </w:rPr>
  </w:style>
  <w:style w:type="character" w:customStyle="1" w:styleId="HeaderChar">
    <w:name w:val="Header Char"/>
    <w:link w:val="Header"/>
    <w:uiPriority w:val="99"/>
    <w:rsid w:val="00D649AF"/>
    <w:rPr>
      <w:sz w:val="22"/>
    </w:rPr>
  </w:style>
  <w:style w:type="character" w:styleId="CommentReference">
    <w:name w:val="annotation reference"/>
    <w:basedOn w:val="DefaultParagraphFont"/>
    <w:semiHidden/>
    <w:unhideWhenUsed/>
    <w:rsid w:val="00124895"/>
    <w:rPr>
      <w:sz w:val="16"/>
      <w:szCs w:val="16"/>
    </w:rPr>
  </w:style>
  <w:style w:type="paragraph" w:styleId="CommentText">
    <w:name w:val="annotation text"/>
    <w:basedOn w:val="Normal"/>
    <w:link w:val="CommentTextChar"/>
    <w:semiHidden/>
    <w:unhideWhenUsed/>
    <w:rsid w:val="00124895"/>
    <w:rPr>
      <w:sz w:val="20"/>
    </w:rPr>
  </w:style>
  <w:style w:type="character" w:customStyle="1" w:styleId="CommentTextChar">
    <w:name w:val="Comment Text Char"/>
    <w:basedOn w:val="DefaultParagraphFont"/>
    <w:link w:val="CommentText"/>
    <w:semiHidden/>
    <w:rsid w:val="00124895"/>
  </w:style>
  <w:style w:type="paragraph" w:styleId="CommentSubject">
    <w:name w:val="annotation subject"/>
    <w:basedOn w:val="CommentText"/>
    <w:next w:val="CommentText"/>
    <w:link w:val="CommentSubjectChar"/>
    <w:semiHidden/>
    <w:unhideWhenUsed/>
    <w:rsid w:val="00124895"/>
    <w:rPr>
      <w:b/>
      <w:bCs/>
    </w:rPr>
  </w:style>
  <w:style w:type="character" w:customStyle="1" w:styleId="CommentSubjectChar">
    <w:name w:val="Comment Subject Char"/>
    <w:basedOn w:val="CommentTextChar"/>
    <w:link w:val="CommentSubject"/>
    <w:semiHidden/>
    <w:rsid w:val="00124895"/>
    <w:rPr>
      <w:b/>
      <w:bCs/>
    </w:rPr>
  </w:style>
  <w:style w:type="paragraph" w:styleId="BodyTextIndent3">
    <w:name w:val="Body Text Indent 3"/>
    <w:basedOn w:val="Normal"/>
    <w:link w:val="BodyTextIndent3Char"/>
    <w:semiHidden/>
    <w:unhideWhenUsed/>
    <w:rsid w:val="00EE508E"/>
    <w:pPr>
      <w:spacing w:after="120"/>
      <w:ind w:left="283"/>
    </w:pPr>
    <w:rPr>
      <w:sz w:val="16"/>
      <w:szCs w:val="16"/>
    </w:rPr>
  </w:style>
  <w:style w:type="character" w:customStyle="1" w:styleId="BodyTextIndent3Char">
    <w:name w:val="Body Text Indent 3 Char"/>
    <w:basedOn w:val="DefaultParagraphFont"/>
    <w:link w:val="BodyTextIndent3"/>
    <w:semiHidden/>
    <w:rsid w:val="00EE508E"/>
    <w:rPr>
      <w:sz w:val="16"/>
      <w:szCs w:val="16"/>
    </w:rPr>
  </w:style>
  <w:style w:type="character" w:customStyle="1" w:styleId="ListParagraphChar">
    <w:name w:val="List Paragraph Char"/>
    <w:link w:val="ListParagraph"/>
    <w:uiPriority w:val="34"/>
    <w:locked/>
    <w:rsid w:val="00EE508E"/>
    <w:rPr>
      <w:rFonts w:ascii="Calibri" w:eastAsia="Calibri" w:hAnsi="Calibri"/>
      <w:sz w:val="22"/>
      <w:szCs w:val="22"/>
    </w:rPr>
  </w:style>
  <w:style w:type="character" w:customStyle="1" w:styleId="Heading3Char">
    <w:name w:val="Heading 3 Char"/>
    <w:locked/>
    <w:rsid w:val="00EE508E"/>
    <w:rPr>
      <w:rFonts w:ascii="Cambria" w:hAnsi="Cambria" w:cs="Times New Roman" w:hint="default"/>
      <w:b/>
      <w:bCs/>
      <w:sz w:val="26"/>
      <w:szCs w:val="26"/>
      <w:lang w:val="es-ES_tradnl"/>
    </w:rPr>
  </w:style>
  <w:style w:type="character" w:customStyle="1" w:styleId="Heading1Char">
    <w:name w:val="Heading 1 Char"/>
    <w:aliases w:val="Heading 1 Char Char Char,Heading 1 Char1 Char,Heading 1 Char1 Car Char"/>
    <w:basedOn w:val="DefaultParagraphFont"/>
    <w:link w:val="Heading1"/>
    <w:uiPriority w:val="99"/>
    <w:rsid w:val="00A95CF7"/>
    <w:rPr>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21">
      <w:bodyDiv w:val="1"/>
      <w:marLeft w:val="0"/>
      <w:marRight w:val="0"/>
      <w:marTop w:val="0"/>
      <w:marBottom w:val="0"/>
      <w:divBdr>
        <w:top w:val="none" w:sz="0" w:space="0" w:color="auto"/>
        <w:left w:val="none" w:sz="0" w:space="0" w:color="auto"/>
        <w:bottom w:val="none" w:sz="0" w:space="0" w:color="auto"/>
        <w:right w:val="none" w:sz="0" w:space="0" w:color="auto"/>
      </w:divBdr>
    </w:div>
    <w:div w:id="125860052">
      <w:bodyDiv w:val="1"/>
      <w:marLeft w:val="0"/>
      <w:marRight w:val="0"/>
      <w:marTop w:val="0"/>
      <w:marBottom w:val="0"/>
      <w:divBdr>
        <w:top w:val="none" w:sz="0" w:space="0" w:color="auto"/>
        <w:left w:val="none" w:sz="0" w:space="0" w:color="auto"/>
        <w:bottom w:val="none" w:sz="0" w:space="0" w:color="auto"/>
        <w:right w:val="none" w:sz="0" w:space="0" w:color="auto"/>
      </w:divBdr>
    </w:div>
    <w:div w:id="324092556">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25869355">
      <w:bodyDiv w:val="1"/>
      <w:marLeft w:val="0"/>
      <w:marRight w:val="0"/>
      <w:marTop w:val="0"/>
      <w:marBottom w:val="0"/>
      <w:divBdr>
        <w:top w:val="none" w:sz="0" w:space="0" w:color="auto"/>
        <w:left w:val="none" w:sz="0" w:space="0" w:color="auto"/>
        <w:bottom w:val="none" w:sz="0" w:space="0" w:color="auto"/>
        <w:right w:val="none" w:sz="0" w:space="0" w:color="auto"/>
      </w:divBdr>
    </w:div>
    <w:div w:id="572010744">
      <w:bodyDiv w:val="1"/>
      <w:marLeft w:val="0"/>
      <w:marRight w:val="0"/>
      <w:marTop w:val="0"/>
      <w:marBottom w:val="0"/>
      <w:divBdr>
        <w:top w:val="none" w:sz="0" w:space="0" w:color="auto"/>
        <w:left w:val="none" w:sz="0" w:space="0" w:color="auto"/>
        <w:bottom w:val="none" w:sz="0" w:space="0" w:color="auto"/>
        <w:right w:val="none" w:sz="0" w:space="0" w:color="auto"/>
      </w:divBdr>
    </w:div>
    <w:div w:id="582570215">
      <w:bodyDiv w:val="1"/>
      <w:marLeft w:val="0"/>
      <w:marRight w:val="0"/>
      <w:marTop w:val="0"/>
      <w:marBottom w:val="0"/>
      <w:divBdr>
        <w:top w:val="none" w:sz="0" w:space="0" w:color="auto"/>
        <w:left w:val="none" w:sz="0" w:space="0" w:color="auto"/>
        <w:bottom w:val="none" w:sz="0" w:space="0" w:color="auto"/>
        <w:right w:val="none" w:sz="0" w:space="0" w:color="auto"/>
      </w:divBdr>
    </w:div>
    <w:div w:id="855268394">
      <w:bodyDiv w:val="1"/>
      <w:marLeft w:val="0"/>
      <w:marRight w:val="0"/>
      <w:marTop w:val="0"/>
      <w:marBottom w:val="0"/>
      <w:divBdr>
        <w:top w:val="none" w:sz="0" w:space="0" w:color="auto"/>
        <w:left w:val="none" w:sz="0" w:space="0" w:color="auto"/>
        <w:bottom w:val="none" w:sz="0" w:space="0" w:color="auto"/>
        <w:right w:val="none" w:sz="0" w:space="0" w:color="auto"/>
      </w:divBdr>
    </w:div>
    <w:div w:id="868372130">
      <w:bodyDiv w:val="1"/>
      <w:marLeft w:val="0"/>
      <w:marRight w:val="0"/>
      <w:marTop w:val="0"/>
      <w:marBottom w:val="0"/>
      <w:divBdr>
        <w:top w:val="none" w:sz="0" w:space="0" w:color="auto"/>
        <w:left w:val="none" w:sz="0" w:space="0" w:color="auto"/>
        <w:bottom w:val="none" w:sz="0" w:space="0" w:color="auto"/>
        <w:right w:val="none" w:sz="0" w:space="0" w:color="auto"/>
      </w:divBdr>
    </w:div>
    <w:div w:id="919292154">
      <w:bodyDiv w:val="1"/>
      <w:marLeft w:val="0"/>
      <w:marRight w:val="0"/>
      <w:marTop w:val="0"/>
      <w:marBottom w:val="0"/>
      <w:divBdr>
        <w:top w:val="none" w:sz="0" w:space="0" w:color="auto"/>
        <w:left w:val="none" w:sz="0" w:space="0" w:color="auto"/>
        <w:bottom w:val="none" w:sz="0" w:space="0" w:color="auto"/>
        <w:right w:val="none" w:sz="0" w:space="0" w:color="auto"/>
      </w:divBdr>
    </w:div>
    <w:div w:id="981423553">
      <w:bodyDiv w:val="1"/>
      <w:marLeft w:val="0"/>
      <w:marRight w:val="0"/>
      <w:marTop w:val="0"/>
      <w:marBottom w:val="0"/>
      <w:divBdr>
        <w:top w:val="none" w:sz="0" w:space="0" w:color="auto"/>
        <w:left w:val="none" w:sz="0" w:space="0" w:color="auto"/>
        <w:bottom w:val="none" w:sz="0" w:space="0" w:color="auto"/>
        <w:right w:val="none" w:sz="0" w:space="0" w:color="auto"/>
      </w:divBdr>
    </w:div>
    <w:div w:id="1049064004">
      <w:bodyDiv w:val="1"/>
      <w:marLeft w:val="0"/>
      <w:marRight w:val="0"/>
      <w:marTop w:val="0"/>
      <w:marBottom w:val="0"/>
      <w:divBdr>
        <w:top w:val="none" w:sz="0" w:space="0" w:color="auto"/>
        <w:left w:val="none" w:sz="0" w:space="0" w:color="auto"/>
        <w:bottom w:val="none" w:sz="0" w:space="0" w:color="auto"/>
        <w:right w:val="none" w:sz="0" w:space="0" w:color="auto"/>
      </w:divBdr>
    </w:div>
    <w:div w:id="1295061858">
      <w:bodyDiv w:val="1"/>
      <w:marLeft w:val="0"/>
      <w:marRight w:val="0"/>
      <w:marTop w:val="0"/>
      <w:marBottom w:val="0"/>
      <w:divBdr>
        <w:top w:val="none" w:sz="0" w:space="0" w:color="auto"/>
        <w:left w:val="none" w:sz="0" w:space="0" w:color="auto"/>
        <w:bottom w:val="none" w:sz="0" w:space="0" w:color="auto"/>
        <w:right w:val="none" w:sz="0" w:space="0" w:color="auto"/>
      </w:divBdr>
    </w:div>
    <w:div w:id="1598904948">
      <w:bodyDiv w:val="1"/>
      <w:marLeft w:val="0"/>
      <w:marRight w:val="0"/>
      <w:marTop w:val="0"/>
      <w:marBottom w:val="0"/>
      <w:divBdr>
        <w:top w:val="none" w:sz="0" w:space="0" w:color="auto"/>
        <w:left w:val="none" w:sz="0" w:space="0" w:color="auto"/>
        <w:bottom w:val="none" w:sz="0" w:space="0" w:color="auto"/>
        <w:right w:val="none" w:sz="0" w:space="0" w:color="auto"/>
      </w:divBdr>
    </w:div>
    <w:div w:id="1664159991">
      <w:bodyDiv w:val="1"/>
      <w:marLeft w:val="0"/>
      <w:marRight w:val="0"/>
      <w:marTop w:val="0"/>
      <w:marBottom w:val="0"/>
      <w:divBdr>
        <w:top w:val="none" w:sz="0" w:space="0" w:color="auto"/>
        <w:left w:val="none" w:sz="0" w:space="0" w:color="auto"/>
        <w:bottom w:val="none" w:sz="0" w:space="0" w:color="auto"/>
        <w:right w:val="none" w:sz="0" w:space="0" w:color="auto"/>
      </w:divBdr>
    </w:div>
    <w:div w:id="1940142386">
      <w:bodyDiv w:val="1"/>
      <w:marLeft w:val="0"/>
      <w:marRight w:val="0"/>
      <w:marTop w:val="0"/>
      <w:marBottom w:val="0"/>
      <w:divBdr>
        <w:top w:val="none" w:sz="0" w:space="0" w:color="auto"/>
        <w:left w:val="none" w:sz="0" w:space="0" w:color="auto"/>
        <w:bottom w:val="none" w:sz="0" w:space="0" w:color="auto"/>
        <w:right w:val="none" w:sz="0" w:space="0" w:color="auto"/>
      </w:divBdr>
    </w:div>
    <w:div w:id="1955746245">
      <w:bodyDiv w:val="1"/>
      <w:marLeft w:val="0"/>
      <w:marRight w:val="0"/>
      <w:marTop w:val="0"/>
      <w:marBottom w:val="0"/>
      <w:divBdr>
        <w:top w:val="none" w:sz="0" w:space="0" w:color="auto"/>
        <w:left w:val="none" w:sz="0" w:space="0" w:color="auto"/>
        <w:bottom w:val="none" w:sz="0" w:space="0" w:color="auto"/>
        <w:right w:val="none" w:sz="0" w:space="0" w:color="auto"/>
      </w:divBdr>
    </w:div>
    <w:div w:id="21362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4275-BFAA-4EB4-8FAA-E8E14D69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Mayorga, Georgina</cp:lastModifiedBy>
  <cp:revision>4</cp:revision>
  <cp:lastPrinted>2014-04-28T12:53:00Z</cp:lastPrinted>
  <dcterms:created xsi:type="dcterms:W3CDTF">2021-11-06T01:39:00Z</dcterms:created>
  <dcterms:modified xsi:type="dcterms:W3CDTF">2021-11-06T01:39:00Z</dcterms:modified>
</cp:coreProperties>
</file>